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24B01D2E"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r w:rsidR="002F3FE8" w:rsidRPr="002F3FE8">
        <w:rPr>
          <w:sz w:val="32"/>
          <w:szCs w:val="32"/>
        </w:rPr>
        <w:t>R2-2208104</w:t>
      </w:r>
    </w:p>
    <w:p w14:paraId="0DEF01D1" w14:textId="2F448B33" w:rsidR="00E90E49" w:rsidRPr="00CE0424" w:rsidRDefault="00C268E6" w:rsidP="00311702">
      <w:pPr>
        <w:pStyle w:val="3GPPHeader"/>
      </w:pPr>
      <w:r>
        <w:t xml:space="preserve">Electronic meeting, </w:t>
      </w:r>
      <w:r w:rsidR="00B33C68" w:rsidRPr="00B33C68">
        <w:t>August 17th – 29th 2022</w:t>
      </w:r>
    </w:p>
    <w:p w14:paraId="252563D4" w14:textId="77777777" w:rsidR="00E90E49" w:rsidRPr="00CE0424" w:rsidRDefault="00E90E49" w:rsidP="00357380">
      <w:pPr>
        <w:pStyle w:val="3GPPHeader"/>
      </w:pPr>
    </w:p>
    <w:p w14:paraId="267378A2" w14:textId="739CF280" w:rsidR="00E90E49" w:rsidRPr="000F6C65" w:rsidRDefault="00E90E49" w:rsidP="00311702">
      <w:pPr>
        <w:pStyle w:val="3GPPHeader"/>
        <w:rPr>
          <w:sz w:val="22"/>
          <w:szCs w:val="22"/>
          <w:lang w:val="en-US"/>
        </w:rPr>
      </w:pPr>
      <w:r w:rsidRPr="00CE0424">
        <w:rPr>
          <w:sz w:val="22"/>
          <w:szCs w:val="22"/>
        </w:rPr>
        <w:t>Agenda Item:</w:t>
      </w:r>
      <w:r w:rsidRPr="00CE0424">
        <w:rPr>
          <w:sz w:val="22"/>
          <w:szCs w:val="22"/>
        </w:rPr>
        <w:tab/>
      </w:r>
      <w:r w:rsidR="00B33C68" w:rsidRPr="000F6C65">
        <w:rPr>
          <w:sz w:val="22"/>
          <w:szCs w:val="22"/>
          <w:lang w:val="en-US"/>
        </w:rPr>
        <w:t>8.12.3</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5ED59EE0" w:rsidR="00E90E49" w:rsidRPr="00CE0424" w:rsidRDefault="003D3C45" w:rsidP="00311702">
      <w:pPr>
        <w:pStyle w:val="3GPPHeader"/>
        <w:rPr>
          <w:sz w:val="22"/>
          <w:szCs w:val="22"/>
        </w:rPr>
      </w:pPr>
      <w:r>
        <w:rPr>
          <w:sz w:val="22"/>
          <w:szCs w:val="22"/>
        </w:rPr>
        <w:t>Title:</w:t>
      </w:r>
      <w:r w:rsidR="00E90E49" w:rsidRPr="00CE0424">
        <w:rPr>
          <w:sz w:val="22"/>
          <w:szCs w:val="22"/>
        </w:rPr>
        <w:tab/>
      </w:r>
      <w:r w:rsidR="00A61948">
        <w:rPr>
          <w:sz w:val="22"/>
          <w:szCs w:val="22"/>
        </w:rPr>
        <w:t>On Migration and Interference mitigation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367BC">
        <w:rPr>
          <w:sz w:val="22"/>
          <w:szCs w:val="22"/>
        </w:rPr>
        <w:t>Discussion, Decision</w:t>
      </w:r>
    </w:p>
    <w:p w14:paraId="1DD4A9BC" w14:textId="77777777" w:rsidR="00E90E49" w:rsidRPr="00CE0424" w:rsidRDefault="00E90E49" w:rsidP="00E90E49"/>
    <w:p w14:paraId="028056FC" w14:textId="6EF33B49" w:rsidR="00E90E49" w:rsidRDefault="007974E0" w:rsidP="007974E0">
      <w:pPr>
        <w:pStyle w:val="Heading1"/>
      </w:pPr>
      <w:r>
        <w:t>1</w:t>
      </w:r>
      <w:r>
        <w:tab/>
      </w:r>
      <w:r w:rsidR="00E90E49" w:rsidRPr="00CE0424">
        <w:t>Introduction</w:t>
      </w:r>
    </w:p>
    <w:p w14:paraId="611C6086" w14:textId="4507F7CC" w:rsidR="004A3BC9" w:rsidRPr="00B33C68" w:rsidRDefault="00B33C68" w:rsidP="004A3BC9">
      <w:pPr>
        <w:rPr>
          <w:rFonts w:ascii="Arial" w:hAnsi="Arial" w:cs="Arial"/>
        </w:rPr>
      </w:pPr>
      <w:r>
        <w:rPr>
          <w:rFonts w:ascii="Arial" w:hAnsi="Arial" w:cs="Arial"/>
        </w:rPr>
        <w:t>Objectives</w:t>
      </w:r>
      <w:r w:rsidR="004A3BC9" w:rsidRPr="00B33C68">
        <w:rPr>
          <w:rFonts w:ascii="Arial" w:hAnsi="Arial" w:cs="Arial"/>
        </w:rPr>
        <w:t xml:space="preserve"> for Rel-18 </w:t>
      </w:r>
      <w:r>
        <w:rPr>
          <w:rFonts w:ascii="Arial" w:hAnsi="Arial" w:cs="Arial"/>
        </w:rPr>
        <w:t>M</w:t>
      </w:r>
      <w:r w:rsidRPr="00B33C68">
        <w:rPr>
          <w:rFonts w:ascii="Arial" w:hAnsi="Arial" w:cs="Arial"/>
        </w:rPr>
        <w:t xml:space="preserve">obile </w:t>
      </w:r>
      <w:r w:rsidR="004A3BC9" w:rsidRPr="00B33C68">
        <w:rPr>
          <w:rFonts w:ascii="Arial" w:hAnsi="Arial" w:cs="Arial"/>
        </w:rPr>
        <w:t xml:space="preserve">IAB </w:t>
      </w:r>
      <w:r>
        <w:rPr>
          <w:rFonts w:ascii="Arial" w:hAnsi="Arial" w:cs="Arial"/>
        </w:rPr>
        <w:t xml:space="preserve">as </w:t>
      </w:r>
      <w:r w:rsidR="00A61948" w:rsidRPr="00B33C68">
        <w:rPr>
          <w:rFonts w:ascii="Arial" w:hAnsi="Arial" w:cs="Arial"/>
        </w:rPr>
        <w:t>below</w:t>
      </w:r>
      <w:r>
        <w:rPr>
          <w:rFonts w:ascii="Arial" w:hAnsi="Arial" w:cs="Arial"/>
        </w:rPr>
        <w:t xml:space="preserve"> will be discussed</w:t>
      </w:r>
      <w:r w:rsidR="004A3BC9" w:rsidRPr="00B33C68">
        <w:rPr>
          <w:rFonts w:ascii="Arial" w:hAnsi="Arial" w:cs="Arial"/>
        </w:rPr>
        <w:t>.</w:t>
      </w:r>
    </w:p>
    <w:tbl>
      <w:tblPr>
        <w:tblStyle w:val="TableGrid"/>
        <w:tblW w:w="0" w:type="auto"/>
        <w:tblLook w:val="04A0" w:firstRow="1" w:lastRow="0" w:firstColumn="1" w:lastColumn="0" w:noHBand="0" w:noVBand="1"/>
      </w:tblPr>
      <w:tblGrid>
        <w:gridCol w:w="9629"/>
      </w:tblGrid>
      <w:tr w:rsidR="004A3BC9" w14:paraId="25B26F23" w14:textId="77777777" w:rsidTr="004A3BC9">
        <w:tc>
          <w:tcPr>
            <w:tcW w:w="9629" w:type="dxa"/>
          </w:tcPr>
          <w:p w14:paraId="340AF684" w14:textId="77777777" w:rsidR="00A61948" w:rsidRPr="00A61948" w:rsidRDefault="00A61948" w:rsidP="00B33C68">
            <w:pPr>
              <w:pStyle w:val="BodyText"/>
              <w:numPr>
                <w:ilvl w:val="0"/>
                <w:numId w:val="33"/>
              </w:numPr>
              <w:rPr>
                <w:sz w:val="20"/>
                <w:szCs w:val="20"/>
              </w:rPr>
            </w:pPr>
            <w:r w:rsidRPr="00A61948">
              <w:rPr>
                <w:sz w:val="20"/>
                <w:szCs w:val="20"/>
              </w:rPr>
              <w:t xml:space="preserve">Define Procedures for migration/topology adaptation to enable IAB-node mobility, including inter-donor migration of the entire mobile IAB-node (full migration) [RAN3, RAN2]. </w:t>
            </w:r>
          </w:p>
          <w:p w14:paraId="4E6C241E" w14:textId="6B0EDB96" w:rsidR="004A3BC9" w:rsidRDefault="00A61948" w:rsidP="00B33C68">
            <w:pPr>
              <w:pStyle w:val="BodyText"/>
              <w:numPr>
                <w:ilvl w:val="0"/>
                <w:numId w:val="33"/>
              </w:numPr>
            </w:pPr>
            <w:r w:rsidRPr="00A61948">
              <w:rPr>
                <w:sz w:val="20"/>
                <w:szCs w:val="20"/>
              </w:rPr>
              <w:t xml:space="preserve">Mitigation of interference due to IAB-node mobility, including the avoidance of potential reference and control signal collisions (e.g. PCI, RACH). [RAN3, RAN2]. </w:t>
            </w:r>
          </w:p>
        </w:tc>
      </w:tr>
    </w:tbl>
    <w:p w14:paraId="1095B22E" w14:textId="77777777" w:rsidR="00477768" w:rsidRPr="00CE0424" w:rsidRDefault="00477768" w:rsidP="00CE0424">
      <w:pPr>
        <w:pStyle w:val="BodyText"/>
      </w:pPr>
    </w:p>
    <w:p w14:paraId="59E13DC4" w14:textId="77874084" w:rsidR="004000E8" w:rsidRDefault="00F14DA2" w:rsidP="00F14DA2">
      <w:pPr>
        <w:pStyle w:val="Heading1"/>
      </w:pPr>
      <w:bookmarkStart w:id="0" w:name="_Ref178064866"/>
      <w:r>
        <w:t>2</w:t>
      </w:r>
      <w:r>
        <w:tab/>
      </w:r>
      <w:r w:rsidR="004000E8" w:rsidRPr="00CE0424">
        <w:t>Discussion</w:t>
      </w:r>
      <w:bookmarkEnd w:id="0"/>
    </w:p>
    <w:p w14:paraId="310B7BBE" w14:textId="17EAE573" w:rsidR="00F63950" w:rsidRDefault="00F14DA2" w:rsidP="00F14DA2">
      <w:pPr>
        <w:pStyle w:val="Heading2"/>
      </w:pPr>
      <w:r>
        <w:t>2.1</w:t>
      </w:r>
      <w:r>
        <w:tab/>
      </w:r>
      <w:r w:rsidR="00A61948">
        <w:t>Migration</w:t>
      </w:r>
      <w:r>
        <w:t xml:space="preserve"> aspects</w:t>
      </w:r>
    </w:p>
    <w:p w14:paraId="60DAD6B4" w14:textId="77777777" w:rsidR="008D1D70" w:rsidRPr="008D1D70" w:rsidRDefault="008D1D70" w:rsidP="008D1D70">
      <w:pPr>
        <w:spacing w:before="120" w:after="0"/>
        <w:rPr>
          <w:rFonts w:ascii="Arial" w:hAnsi="Arial" w:cs="Arial"/>
          <w:bCs/>
        </w:rPr>
      </w:pPr>
      <w:r w:rsidRPr="008D1D70">
        <w:rPr>
          <w:rFonts w:ascii="Arial" w:hAnsi="Arial" w:cs="Arial"/>
          <w:bCs/>
        </w:rPr>
        <w:t>The main task for the Rel-18 IAB WI is to specify the procedure for enabling IAB-node mobility. The Rel-17 specifications support partial migration of IAB-nodes, where the IAB-MT of an IAB-node is handed over between two donor CUs, while the F1 traffic traversing/terminated at the co-located IAB-DU is redirected to traverse the donor DU serving the IAB-MT after the IAB-MT handover (HO). The termination points of the F1 traffic traversing/terminated at the co-located IAB-DU remain unchanged.</w:t>
      </w:r>
    </w:p>
    <w:p w14:paraId="466B9BF2" w14:textId="77777777" w:rsidR="008D1D70" w:rsidRPr="008D1D70" w:rsidRDefault="008D1D70" w:rsidP="008D1D70">
      <w:pPr>
        <w:spacing w:before="120" w:after="0"/>
        <w:rPr>
          <w:rFonts w:ascii="Arial" w:hAnsi="Arial" w:cs="Arial"/>
          <w:bCs/>
        </w:rPr>
      </w:pPr>
      <w:r w:rsidRPr="008D1D70">
        <w:rPr>
          <w:rFonts w:ascii="Arial" w:hAnsi="Arial" w:cs="Arial"/>
          <w:bCs/>
        </w:rPr>
        <w:t xml:space="preserve">During Rel-17 IAB, full inter-donor migration of an IAB-node was discussed, but not specified. During RAN Plenary discussions, several companies expressed the intention to propose full migration as the baseline for </w:t>
      </w:r>
      <w:proofErr w:type="spellStart"/>
      <w:r w:rsidRPr="008D1D70">
        <w:rPr>
          <w:rFonts w:ascii="Arial" w:hAnsi="Arial" w:cs="Arial"/>
          <w:bCs/>
        </w:rPr>
        <w:t>mIAB</w:t>
      </w:r>
      <w:proofErr w:type="spellEnd"/>
      <w:r w:rsidRPr="008D1D70">
        <w:rPr>
          <w:rFonts w:ascii="Arial" w:hAnsi="Arial" w:cs="Arial"/>
          <w:bCs/>
        </w:rPr>
        <w:t xml:space="preserve"> mobility support. </w:t>
      </w:r>
    </w:p>
    <w:p w14:paraId="294A639D" w14:textId="65BF5824" w:rsidR="008D1D70" w:rsidRPr="008D1D70" w:rsidRDefault="008D1D70" w:rsidP="008D1D70">
      <w:pPr>
        <w:spacing w:before="120" w:after="0"/>
        <w:rPr>
          <w:rFonts w:ascii="Arial" w:hAnsi="Arial" w:cs="Arial"/>
        </w:rPr>
      </w:pPr>
      <w:r w:rsidRPr="008D1D70">
        <w:rPr>
          <w:rFonts w:ascii="Arial" w:hAnsi="Arial" w:cs="Arial"/>
        </w:rPr>
        <w:t xml:space="preserve">One prominent use case for </w:t>
      </w:r>
      <w:proofErr w:type="spellStart"/>
      <w:r w:rsidRPr="008D1D70">
        <w:rPr>
          <w:rFonts w:ascii="Arial" w:hAnsi="Arial" w:cs="Arial"/>
        </w:rPr>
        <w:t>mIAB</w:t>
      </w:r>
      <w:proofErr w:type="spellEnd"/>
      <w:r w:rsidRPr="008D1D70">
        <w:rPr>
          <w:rFonts w:ascii="Arial" w:hAnsi="Arial" w:cs="Arial"/>
        </w:rPr>
        <w:t xml:space="preserve"> is an urban scenario where </w:t>
      </w:r>
      <w:proofErr w:type="spellStart"/>
      <w:r w:rsidRPr="008D1D70">
        <w:rPr>
          <w:rFonts w:ascii="Arial" w:hAnsi="Arial" w:cs="Arial"/>
        </w:rPr>
        <w:t>mIAB</w:t>
      </w:r>
      <w:proofErr w:type="spellEnd"/>
      <w:r w:rsidRPr="008D1D70">
        <w:rPr>
          <w:rFonts w:ascii="Arial" w:hAnsi="Arial" w:cs="Arial"/>
        </w:rPr>
        <w:t xml:space="preserve">-nodes are mounted onboard vehicles. Cells in urban scenarios are typically small, where mobility implies frequent </w:t>
      </w:r>
      <w:r w:rsidRPr="008D1D70">
        <w:rPr>
          <w:rFonts w:ascii="Arial" w:hAnsi="Arial" w:cs="Arial"/>
          <w:bCs/>
        </w:rPr>
        <w:t xml:space="preserve">HOs (of the </w:t>
      </w:r>
      <w:proofErr w:type="spellStart"/>
      <w:r w:rsidRPr="008D1D70">
        <w:rPr>
          <w:rFonts w:ascii="Arial" w:hAnsi="Arial" w:cs="Arial"/>
          <w:bCs/>
        </w:rPr>
        <w:t>mIAB</w:t>
      </w:r>
      <w:proofErr w:type="spellEnd"/>
      <w:r w:rsidRPr="008D1D70">
        <w:rPr>
          <w:rFonts w:ascii="Arial" w:hAnsi="Arial" w:cs="Arial"/>
          <w:bCs/>
        </w:rPr>
        <w:t>-MT)</w:t>
      </w:r>
      <w:r w:rsidRPr="008D1D70">
        <w:rPr>
          <w:rFonts w:ascii="Arial" w:hAnsi="Arial" w:cs="Arial"/>
        </w:rPr>
        <w:t>.</w:t>
      </w:r>
      <w:r w:rsidRPr="008D1D70">
        <w:rPr>
          <w:rFonts w:ascii="Arial" w:hAnsi="Arial" w:cs="Arial"/>
          <w:bCs/>
        </w:rPr>
        <w:t xml:space="preserve"> </w:t>
      </w:r>
      <w:r w:rsidRPr="008D1D70">
        <w:rPr>
          <w:rFonts w:ascii="Arial" w:hAnsi="Arial" w:cs="Arial"/>
        </w:rPr>
        <w:t xml:space="preserve">Always applying the full migration in the form that was discussed in Rel-17 means that both the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w:t>
      </w:r>
      <w:r w:rsidRPr="008D1D70">
        <w:rPr>
          <w:rFonts w:ascii="Arial" w:hAnsi="Arial" w:cs="Arial"/>
          <w:bCs/>
        </w:rPr>
        <w:t>HO</w:t>
      </w:r>
      <w:r w:rsidRPr="008D1D70">
        <w:rPr>
          <w:rFonts w:ascii="Arial" w:hAnsi="Arial" w:cs="Arial"/>
        </w:rPr>
        <w:t xml:space="preserve">s would have to be executed both together and therefore frequently. This would imply complex reconfigurations, with a significant impact on the connected UEs, due to the change of the serving donor CU and, likely, the CGI. </w:t>
      </w:r>
    </w:p>
    <w:p w14:paraId="35FF6827" w14:textId="77777777" w:rsidR="008D1D70" w:rsidRPr="00410D33" w:rsidRDefault="008D1D70" w:rsidP="008D1D70">
      <w:pPr>
        <w:spacing w:before="120" w:after="0"/>
        <w:rPr>
          <w:rFonts w:asciiTheme="minorHAnsi" w:hAnsiTheme="minorHAnsi" w:cstheme="minorHAnsi"/>
          <w:bCs/>
          <w:sz w:val="22"/>
          <w:szCs w:val="22"/>
        </w:rPr>
      </w:pPr>
    </w:p>
    <w:p w14:paraId="25DC4991" w14:textId="224B6C39" w:rsidR="008D1D70" w:rsidRDefault="008D1D70" w:rsidP="00660F7B">
      <w:pPr>
        <w:pStyle w:val="Observation"/>
        <w:ind w:left="1560" w:hanging="1560"/>
        <w:rPr>
          <w:color w:val="FF0000"/>
        </w:rPr>
      </w:pPr>
      <w:bookmarkStart w:id="1" w:name="_Toc111021042"/>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 xml:space="preserve">donor CUs, </w:t>
      </w:r>
      <w:r>
        <w:t>would imply frequent and complex reconfigurations with a</w:t>
      </w:r>
      <w:r w:rsidRPr="00F2581B">
        <w:t xml:space="preserve"> significant</w:t>
      </w:r>
      <w:r>
        <w:t xml:space="preserve"> impact on</w:t>
      </w:r>
      <w:r w:rsidRPr="00F2581B">
        <w:t xml:space="preserve"> the connected UEs due to the change of the serving </w:t>
      </w:r>
      <w:r>
        <w:t xml:space="preserve">donor </w:t>
      </w:r>
      <w:r w:rsidRPr="00F2581B">
        <w:t>CU</w:t>
      </w:r>
      <w:r w:rsidRPr="00E72C37">
        <w:t>.</w:t>
      </w:r>
      <w:bookmarkEnd w:id="1"/>
      <w:r>
        <w:t xml:space="preserve"> </w:t>
      </w:r>
    </w:p>
    <w:p w14:paraId="0EFEF6C0" w14:textId="77777777" w:rsidR="008D1D70" w:rsidRPr="008D1D70" w:rsidRDefault="008D1D70" w:rsidP="008D1D70">
      <w:pPr>
        <w:spacing w:before="120" w:after="0"/>
        <w:rPr>
          <w:rFonts w:ascii="Arial" w:hAnsi="Arial" w:cs="Arial"/>
        </w:rPr>
      </w:pPr>
      <w:r w:rsidRPr="008D1D70">
        <w:rPr>
          <w:rFonts w:ascii="Arial" w:hAnsi="Arial" w:cs="Arial"/>
        </w:rPr>
        <w:t xml:space="preserve">Besides the inherent complexity and processing load, an additional risk of joint HO of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is that the </w:t>
      </w:r>
      <w:proofErr w:type="spellStart"/>
      <w:r w:rsidRPr="008D1D70">
        <w:rPr>
          <w:rFonts w:ascii="Arial" w:hAnsi="Arial" w:cs="Arial"/>
        </w:rPr>
        <w:t>mIAB</w:t>
      </w:r>
      <w:proofErr w:type="spellEnd"/>
      <w:r w:rsidRPr="008D1D70">
        <w:rPr>
          <w:rFonts w:ascii="Arial" w:hAnsi="Arial" w:cs="Arial"/>
        </w:rPr>
        <w:t xml:space="preserve"> may stay under one donor for just a little while causing a subsequent HO of the </w:t>
      </w:r>
      <w:proofErr w:type="spellStart"/>
      <w:r w:rsidRPr="008D1D70">
        <w:rPr>
          <w:rFonts w:ascii="Arial" w:hAnsi="Arial" w:cs="Arial"/>
        </w:rPr>
        <w:t>mIAB</w:t>
      </w:r>
      <w:proofErr w:type="spellEnd"/>
      <w:r w:rsidRPr="008D1D70">
        <w:rPr>
          <w:rFonts w:ascii="Arial" w:hAnsi="Arial" w:cs="Arial"/>
        </w:rPr>
        <w:t xml:space="preserve">-MT before the completion of the </w:t>
      </w:r>
      <w:proofErr w:type="spellStart"/>
      <w:r w:rsidRPr="008D1D70">
        <w:rPr>
          <w:rFonts w:ascii="Arial" w:hAnsi="Arial" w:cs="Arial"/>
        </w:rPr>
        <w:t>mIAB</w:t>
      </w:r>
      <w:proofErr w:type="spellEnd"/>
      <w:r w:rsidRPr="008D1D70">
        <w:rPr>
          <w:rFonts w:ascii="Arial" w:hAnsi="Arial" w:cs="Arial"/>
        </w:rPr>
        <w:t xml:space="preserve">-DU HO. This is a likely scenario in a small cell environment, typical for </w:t>
      </w:r>
      <w:r w:rsidRPr="008D1D70">
        <w:rPr>
          <w:rFonts w:ascii="Arial" w:hAnsi="Arial" w:cs="Arial"/>
        </w:rPr>
        <w:lastRenderedPageBreak/>
        <w:t xml:space="preserve">urban scenarios. If this happens, two alternatives are possible. Either the </w:t>
      </w:r>
      <w:proofErr w:type="spellStart"/>
      <w:r w:rsidRPr="008D1D70">
        <w:rPr>
          <w:rFonts w:ascii="Arial" w:hAnsi="Arial" w:cs="Arial"/>
        </w:rPr>
        <w:t>mIAB</w:t>
      </w:r>
      <w:proofErr w:type="spellEnd"/>
      <w:r w:rsidRPr="008D1D70">
        <w:rPr>
          <w:rFonts w:ascii="Arial" w:hAnsi="Arial" w:cs="Arial"/>
        </w:rPr>
        <w:t xml:space="preserve">-MT HO is delayed until completion of the </w:t>
      </w:r>
      <w:proofErr w:type="spellStart"/>
      <w:r w:rsidRPr="008D1D70">
        <w:rPr>
          <w:rFonts w:ascii="Arial" w:hAnsi="Arial" w:cs="Arial"/>
        </w:rPr>
        <w:t>mIAB</w:t>
      </w:r>
      <w:proofErr w:type="spellEnd"/>
      <w:r w:rsidRPr="008D1D70">
        <w:rPr>
          <w:rFonts w:ascii="Arial" w:hAnsi="Arial" w:cs="Arial"/>
        </w:rPr>
        <w:t xml:space="preserve">-DU HO, with the risk of increased </w:t>
      </w:r>
      <w:proofErr w:type="spellStart"/>
      <w:r w:rsidRPr="008D1D70">
        <w:rPr>
          <w:rFonts w:ascii="Arial" w:hAnsi="Arial" w:cs="Arial"/>
        </w:rPr>
        <w:t>mIAB</w:t>
      </w:r>
      <w:proofErr w:type="spellEnd"/>
      <w:r w:rsidRPr="008D1D70">
        <w:rPr>
          <w:rFonts w:ascii="Arial" w:hAnsi="Arial" w:cs="Arial"/>
        </w:rPr>
        <w:t xml:space="preserve">-MT HO failure due to slow HO execution, or this (subsequent) </w:t>
      </w:r>
      <w:proofErr w:type="spellStart"/>
      <w:r w:rsidRPr="008D1D70">
        <w:rPr>
          <w:rFonts w:ascii="Arial" w:hAnsi="Arial" w:cs="Arial"/>
        </w:rPr>
        <w:t>mIAB</w:t>
      </w:r>
      <w:proofErr w:type="spellEnd"/>
      <w:r w:rsidRPr="008D1D70">
        <w:rPr>
          <w:rFonts w:ascii="Arial" w:hAnsi="Arial" w:cs="Arial"/>
        </w:rPr>
        <w:t xml:space="preserve">-MT HO is executed before the </w:t>
      </w:r>
      <w:proofErr w:type="spellStart"/>
      <w:r w:rsidRPr="008D1D70">
        <w:rPr>
          <w:rFonts w:ascii="Arial" w:hAnsi="Arial" w:cs="Arial"/>
        </w:rPr>
        <w:t>mIAB</w:t>
      </w:r>
      <w:proofErr w:type="spellEnd"/>
      <w:r w:rsidRPr="008D1D70">
        <w:rPr>
          <w:rFonts w:ascii="Arial" w:hAnsi="Arial" w:cs="Arial"/>
        </w:rPr>
        <w:t xml:space="preserve">-DU HO is completed, increasing the risk of errors due to unsynchronized state of </w:t>
      </w:r>
      <w:proofErr w:type="spellStart"/>
      <w:r w:rsidRPr="008D1D70">
        <w:rPr>
          <w:rFonts w:ascii="Arial" w:hAnsi="Arial" w:cs="Arial"/>
        </w:rPr>
        <w:t>mIAB</w:t>
      </w:r>
      <w:proofErr w:type="spellEnd"/>
      <w:r w:rsidRPr="008D1D70">
        <w:rPr>
          <w:rFonts w:ascii="Arial" w:hAnsi="Arial" w:cs="Arial"/>
        </w:rPr>
        <w:t xml:space="preserve">-DU’s F1 connection, neither of which is good. </w:t>
      </w:r>
    </w:p>
    <w:p w14:paraId="5D625A58" w14:textId="77777777" w:rsidR="008D1D70" w:rsidRPr="008D1D70" w:rsidRDefault="008D1D70" w:rsidP="008D1D70">
      <w:pPr>
        <w:spacing w:before="120" w:after="0"/>
        <w:rPr>
          <w:rFonts w:ascii="Arial" w:hAnsi="Arial" w:cs="Arial"/>
        </w:rPr>
      </w:pPr>
    </w:p>
    <w:p w14:paraId="664CEAA1" w14:textId="2130BA9C" w:rsidR="008D1D70" w:rsidRDefault="008D1D70" w:rsidP="00637D9E">
      <w:pPr>
        <w:pStyle w:val="Observation"/>
        <w:ind w:left="1701" w:hanging="1701"/>
      </w:pPr>
      <w:bookmarkStart w:id="2" w:name="_Toc111021043"/>
      <w:r>
        <w:t xml:space="preserve">Mandating that the </w:t>
      </w:r>
      <w:proofErr w:type="spellStart"/>
      <w:r>
        <w:t>mIAB</w:t>
      </w:r>
      <w:proofErr w:type="spellEnd"/>
      <w:r>
        <w:t xml:space="preserve">-DU and the served UEs are handed over every time </w:t>
      </w:r>
      <w:r w:rsidRPr="00E72C37">
        <w:t xml:space="preserve">the </w:t>
      </w:r>
      <w:proofErr w:type="spellStart"/>
      <w:r w:rsidRPr="00E72C37">
        <w:t>mIAB</w:t>
      </w:r>
      <w:proofErr w:type="spellEnd"/>
      <w:r w:rsidRPr="00E72C37">
        <w:t xml:space="preserve">-MT is handed over between </w:t>
      </w:r>
      <w:r w:rsidRPr="00F2581B">
        <w:t>donor CUs</w:t>
      </w:r>
      <w:r>
        <w:t xml:space="preserve"> may lead to slowing down of </w:t>
      </w:r>
      <w:proofErr w:type="spellStart"/>
      <w:r>
        <w:t>mIAB</w:t>
      </w:r>
      <w:proofErr w:type="spellEnd"/>
      <w:r>
        <w:t xml:space="preserve">-MT handover (and a possible failure), or to an unsynchronized </w:t>
      </w:r>
      <w:r w:rsidRPr="00AF4DB4">
        <w:t xml:space="preserve">state of </w:t>
      </w:r>
      <w:proofErr w:type="spellStart"/>
      <w:r w:rsidRPr="00AF4DB4">
        <w:t>mIAB</w:t>
      </w:r>
      <w:proofErr w:type="spellEnd"/>
      <w:r w:rsidRPr="00AF4DB4">
        <w:t>-DU’s F1 connection.</w:t>
      </w:r>
      <w:bookmarkEnd w:id="2"/>
    </w:p>
    <w:p w14:paraId="2FD21C40" w14:textId="77777777" w:rsidR="008D1D70" w:rsidRPr="008D1D70" w:rsidRDefault="008D1D70" w:rsidP="008D1D70">
      <w:pPr>
        <w:spacing w:before="120" w:after="0"/>
        <w:rPr>
          <w:rFonts w:ascii="Arial" w:hAnsi="Arial" w:cs="Arial"/>
        </w:rPr>
      </w:pPr>
      <w:r w:rsidRPr="008D1D70">
        <w:rPr>
          <w:rFonts w:ascii="Arial" w:hAnsi="Arial" w:cs="Arial"/>
        </w:rPr>
        <w:t xml:space="preserve">Finally, joint </w:t>
      </w:r>
      <w:proofErr w:type="spellStart"/>
      <w:r w:rsidRPr="008D1D70">
        <w:rPr>
          <w:rFonts w:ascii="Arial" w:hAnsi="Arial" w:cs="Arial"/>
        </w:rPr>
        <w:t>mIAB</w:t>
      </w:r>
      <w:proofErr w:type="spellEnd"/>
      <w:r w:rsidRPr="008D1D70">
        <w:rPr>
          <w:rFonts w:ascii="Arial" w:hAnsi="Arial" w:cs="Arial"/>
        </w:rPr>
        <w:t xml:space="preserve">-MT and </w:t>
      </w:r>
      <w:proofErr w:type="spellStart"/>
      <w:r w:rsidRPr="008D1D70">
        <w:rPr>
          <w:rFonts w:ascii="Arial" w:hAnsi="Arial" w:cs="Arial"/>
        </w:rPr>
        <w:t>mIAB</w:t>
      </w:r>
      <w:proofErr w:type="spellEnd"/>
      <w:r w:rsidRPr="008D1D70">
        <w:rPr>
          <w:rFonts w:ascii="Arial" w:hAnsi="Arial" w:cs="Arial"/>
        </w:rPr>
        <w:t xml:space="preserve">-DU HO may fail in case the </w:t>
      </w:r>
      <w:proofErr w:type="spellStart"/>
      <w:r w:rsidRPr="008D1D70">
        <w:rPr>
          <w:rFonts w:ascii="Arial" w:hAnsi="Arial" w:cs="Arial"/>
        </w:rPr>
        <w:t>mIAB</w:t>
      </w:r>
      <w:proofErr w:type="spellEnd"/>
      <w:r w:rsidRPr="008D1D70">
        <w:rPr>
          <w:rFonts w:ascii="Arial" w:hAnsi="Arial" w:cs="Arial"/>
        </w:rPr>
        <w:t xml:space="preserve">-MT is successfully handed over, but it turns out that the target donor CU cannot accept the </w:t>
      </w:r>
      <w:proofErr w:type="spellStart"/>
      <w:r w:rsidRPr="008D1D70">
        <w:rPr>
          <w:rFonts w:ascii="Arial" w:hAnsi="Arial" w:cs="Arial"/>
        </w:rPr>
        <w:t>mIAB</w:t>
      </w:r>
      <w:proofErr w:type="spellEnd"/>
      <w:r w:rsidRPr="008D1D70">
        <w:rPr>
          <w:rFonts w:ascii="Arial" w:hAnsi="Arial" w:cs="Arial"/>
        </w:rPr>
        <w:t xml:space="preserve">-DU (e.g., for reasons of traffic load or service latency). </w:t>
      </w:r>
    </w:p>
    <w:p w14:paraId="77924BCF" w14:textId="77777777" w:rsidR="008D1D70" w:rsidRDefault="008D1D70" w:rsidP="008D1D70">
      <w:pPr>
        <w:spacing w:before="120" w:after="0"/>
        <w:rPr>
          <w:rFonts w:asciiTheme="minorHAnsi" w:hAnsiTheme="minorHAnsi" w:cstheme="minorHAnsi"/>
          <w:sz w:val="22"/>
          <w:szCs w:val="22"/>
        </w:rPr>
      </w:pPr>
    </w:p>
    <w:p w14:paraId="50D5E440" w14:textId="7D93FA20" w:rsidR="008D1D70" w:rsidRPr="00467692" w:rsidRDefault="008D1D70" w:rsidP="00467692">
      <w:pPr>
        <w:pStyle w:val="Observation"/>
        <w:ind w:left="1701" w:hanging="1701"/>
      </w:pPr>
      <w:bookmarkStart w:id="3" w:name="_Toc111021044"/>
      <w:r>
        <w:t>A j</w:t>
      </w:r>
      <w:r w:rsidRPr="00D30553">
        <w:t xml:space="preserve">oint </w:t>
      </w:r>
      <w:proofErr w:type="spellStart"/>
      <w:r w:rsidRPr="00D30553">
        <w:t>mIAB</w:t>
      </w:r>
      <w:proofErr w:type="spellEnd"/>
      <w:r w:rsidRPr="00D30553">
        <w:t xml:space="preserve">-MT and </w:t>
      </w:r>
      <w:proofErr w:type="spellStart"/>
      <w:r w:rsidRPr="00D30553">
        <w:t>mIAB</w:t>
      </w:r>
      <w:proofErr w:type="spellEnd"/>
      <w:r w:rsidRPr="00D30553">
        <w:t xml:space="preserve">-DU HO may fail in case the </w:t>
      </w:r>
      <w:proofErr w:type="spellStart"/>
      <w:r w:rsidRPr="00D30553">
        <w:t>mIAB</w:t>
      </w:r>
      <w:proofErr w:type="spellEnd"/>
      <w:r w:rsidRPr="00D30553">
        <w:t xml:space="preserve">-MT is successfully handed over, but it turns out that the target donor CU cannot accept the </w:t>
      </w:r>
      <w:proofErr w:type="spellStart"/>
      <w:r w:rsidRPr="00D30553">
        <w:t>mIAB</w:t>
      </w:r>
      <w:proofErr w:type="spellEnd"/>
      <w:r w:rsidRPr="00D30553">
        <w:t>-DU (e.g., for reasons of traffic load or service latency).</w:t>
      </w:r>
      <w:bookmarkEnd w:id="3"/>
      <w:r w:rsidRPr="00D30553">
        <w:t xml:space="preserve"> </w:t>
      </w:r>
    </w:p>
    <w:p w14:paraId="2AC91E5C" w14:textId="782CA507" w:rsidR="004419FB" w:rsidRDefault="004419FB" w:rsidP="004419FB">
      <w:pPr>
        <w:rPr>
          <w:rFonts w:ascii="Arial" w:hAnsi="Arial" w:cs="Arial"/>
        </w:rPr>
      </w:pPr>
      <w:r w:rsidRPr="004419FB">
        <w:rPr>
          <w:rFonts w:ascii="Arial" w:hAnsi="Arial" w:cs="Arial"/>
        </w:rPr>
        <w:t xml:space="preserve">Due to the above, we think that </w:t>
      </w:r>
      <w:r w:rsidR="00674DC9">
        <w:rPr>
          <w:rFonts w:ascii="Arial" w:hAnsi="Arial" w:cs="Arial"/>
        </w:rPr>
        <w:t>a solution that</w:t>
      </w:r>
      <w:r w:rsidRPr="004419FB">
        <w:rPr>
          <w:rFonts w:ascii="Arial" w:hAnsi="Arial" w:cs="Arial"/>
        </w:rPr>
        <w:t xml:space="preserve"> support the </w:t>
      </w:r>
      <w:r w:rsidRPr="004419FB">
        <w:rPr>
          <w:rFonts w:ascii="Arial" w:hAnsi="Arial" w:cs="Arial"/>
          <w:b/>
          <w:bCs/>
        </w:rPr>
        <w:t xml:space="preserve">decoupling the HOs of an </w:t>
      </w:r>
      <w:proofErr w:type="spellStart"/>
      <w:r w:rsidRPr="004419FB">
        <w:rPr>
          <w:rFonts w:ascii="Arial" w:hAnsi="Arial" w:cs="Arial"/>
          <w:b/>
          <w:bCs/>
        </w:rPr>
        <w:t>mIAB</w:t>
      </w:r>
      <w:proofErr w:type="spellEnd"/>
      <w:r w:rsidRPr="004419FB">
        <w:rPr>
          <w:rFonts w:ascii="Arial" w:hAnsi="Arial" w:cs="Arial"/>
          <w:b/>
          <w:bCs/>
        </w:rPr>
        <w:t xml:space="preserve">-DU from the HOs of the co-located </w:t>
      </w:r>
      <w:proofErr w:type="spellStart"/>
      <w:r w:rsidRPr="004419FB">
        <w:rPr>
          <w:rFonts w:ascii="Arial" w:hAnsi="Arial" w:cs="Arial"/>
          <w:b/>
          <w:bCs/>
        </w:rPr>
        <w:t>mIAB</w:t>
      </w:r>
      <w:proofErr w:type="spellEnd"/>
      <w:r w:rsidRPr="004419FB">
        <w:rPr>
          <w:rFonts w:ascii="Arial" w:hAnsi="Arial" w:cs="Arial"/>
          <w:b/>
          <w:bCs/>
        </w:rPr>
        <w:t>-MT</w:t>
      </w:r>
      <w:r w:rsidR="00A17104" w:rsidRPr="00A17104">
        <w:rPr>
          <w:rFonts w:ascii="Arial" w:hAnsi="Arial" w:cs="Arial"/>
        </w:rPr>
        <w:t xml:space="preserve"> would</w:t>
      </w:r>
      <w:r w:rsidR="00A17104">
        <w:rPr>
          <w:rFonts w:ascii="Arial" w:hAnsi="Arial" w:cs="Arial"/>
        </w:rPr>
        <w:t xml:space="preserve"> bring huge benefits to mitigate the mentioned issues</w:t>
      </w:r>
      <w:r w:rsidRPr="004419FB">
        <w:rPr>
          <w:rFonts w:ascii="Arial" w:hAnsi="Arial" w:cs="Arial"/>
        </w:rPr>
        <w:t xml:space="preserve">. </w:t>
      </w:r>
      <w:r w:rsidR="00A17104">
        <w:rPr>
          <w:rFonts w:ascii="Arial" w:hAnsi="Arial" w:cs="Arial"/>
        </w:rPr>
        <w:t>Here, t</w:t>
      </w:r>
      <w:r w:rsidRPr="004419FB">
        <w:rPr>
          <w:rFonts w:ascii="Arial" w:hAnsi="Arial" w:cs="Arial"/>
        </w:rPr>
        <w:t xml:space="preserve">he </w:t>
      </w:r>
      <w:r w:rsidRPr="004419FB">
        <w:rPr>
          <w:rFonts w:ascii="Arial" w:hAnsi="Arial" w:cs="Arial"/>
          <w:i/>
          <w:iCs/>
        </w:rPr>
        <w:t>decoupling</w:t>
      </w:r>
      <w:r w:rsidRPr="004419FB">
        <w:rPr>
          <w:rFonts w:ascii="Arial" w:hAnsi="Arial" w:cs="Arial"/>
        </w:rPr>
        <w:t xml:space="preserve"> means that it should be possible to execute </w:t>
      </w:r>
      <w:proofErr w:type="spellStart"/>
      <w:r w:rsidRPr="004419FB">
        <w:rPr>
          <w:rFonts w:ascii="Arial" w:hAnsi="Arial" w:cs="Arial"/>
        </w:rPr>
        <w:t>mIAB</w:t>
      </w:r>
      <w:proofErr w:type="spellEnd"/>
      <w:r w:rsidRPr="004419FB">
        <w:rPr>
          <w:rFonts w:ascii="Arial" w:hAnsi="Arial" w:cs="Arial"/>
        </w:rPr>
        <w:t xml:space="preserve">-MT and </w:t>
      </w:r>
      <w:proofErr w:type="spellStart"/>
      <w:r w:rsidRPr="004419FB">
        <w:rPr>
          <w:rFonts w:ascii="Arial" w:hAnsi="Arial" w:cs="Arial"/>
        </w:rPr>
        <w:t>mIAB</w:t>
      </w:r>
      <w:proofErr w:type="spellEnd"/>
      <w:r w:rsidRPr="004419FB">
        <w:rPr>
          <w:rFonts w:ascii="Arial" w:hAnsi="Arial" w:cs="Arial"/>
        </w:rPr>
        <w:t xml:space="preserve">-DU HOs independently of each other, meaning that, at any time, the </w:t>
      </w:r>
      <w:proofErr w:type="spellStart"/>
      <w:r w:rsidRPr="004419FB">
        <w:rPr>
          <w:rFonts w:ascii="Arial" w:hAnsi="Arial" w:cs="Arial"/>
        </w:rPr>
        <w:t>mIAB</w:t>
      </w:r>
      <w:proofErr w:type="spellEnd"/>
      <w:r w:rsidRPr="004419FB">
        <w:rPr>
          <w:rFonts w:ascii="Arial" w:hAnsi="Arial" w:cs="Arial"/>
        </w:rPr>
        <w:t xml:space="preserve">-MT could be served by a donor CU different than the donor CU serving the </w:t>
      </w:r>
      <w:proofErr w:type="spellStart"/>
      <w:r w:rsidRPr="004419FB">
        <w:rPr>
          <w:rFonts w:ascii="Arial" w:hAnsi="Arial" w:cs="Arial"/>
        </w:rPr>
        <w:t>mIAB</w:t>
      </w:r>
      <w:proofErr w:type="spellEnd"/>
      <w:r w:rsidRPr="004419FB">
        <w:rPr>
          <w:rFonts w:ascii="Arial" w:hAnsi="Arial" w:cs="Arial"/>
        </w:rPr>
        <w:t xml:space="preserve">-DU. </w:t>
      </w:r>
    </w:p>
    <w:p w14:paraId="045B6614" w14:textId="74EDEDBD" w:rsidR="00A17104" w:rsidRDefault="00A17104" w:rsidP="00637D9E">
      <w:pPr>
        <w:pStyle w:val="Observation"/>
        <w:ind w:left="1701" w:hanging="1701"/>
      </w:pPr>
      <w:bookmarkStart w:id="4" w:name="_Toc111021045"/>
      <w:r>
        <w:t xml:space="preserve">Decoupling </w:t>
      </w:r>
      <w:r w:rsidRPr="00A17104">
        <w:t xml:space="preserve">the HOs of an </w:t>
      </w:r>
      <w:proofErr w:type="spellStart"/>
      <w:r w:rsidRPr="00A17104">
        <w:t>mIAB</w:t>
      </w:r>
      <w:proofErr w:type="spellEnd"/>
      <w:r w:rsidRPr="00A17104">
        <w:t xml:space="preserve">-DU from the HOs of the co-located </w:t>
      </w:r>
      <w:proofErr w:type="spellStart"/>
      <w:r w:rsidRPr="00A17104">
        <w:t>mIAB</w:t>
      </w:r>
      <w:proofErr w:type="spellEnd"/>
      <w:r w:rsidRPr="00A17104">
        <w:t>-MT would bring huge benefits to mitigate</w:t>
      </w:r>
      <w:r>
        <w:t xml:space="preserve"> connectivity interruptions</w:t>
      </w:r>
      <w:r w:rsidR="00637D9E">
        <w:t xml:space="preserve"> and</w:t>
      </w:r>
      <w:r>
        <w:t xml:space="preserve"> handover failure</w:t>
      </w:r>
      <w:r w:rsidR="00637D9E">
        <w:t>.</w:t>
      </w:r>
      <w:bookmarkEnd w:id="4"/>
      <w:r>
        <w:t xml:space="preserve"> </w:t>
      </w:r>
    </w:p>
    <w:p w14:paraId="192C63B1" w14:textId="30B53D5D" w:rsidR="005A7B75" w:rsidRPr="00A17104" w:rsidRDefault="00891381" w:rsidP="00637D9E">
      <w:pPr>
        <w:pStyle w:val="Observation"/>
        <w:ind w:left="1701" w:hanging="1701"/>
        <w:rPr>
          <w:rFonts w:cs="Arial"/>
        </w:rPr>
      </w:pPr>
      <w:bookmarkStart w:id="5" w:name="_Toc111021046"/>
      <w:r>
        <w:t>I</w:t>
      </w:r>
      <w:r w:rsidR="00EF1618">
        <w:t xml:space="preserve">t could be advantageous to offer the </w:t>
      </w:r>
      <w:r>
        <w:t xml:space="preserve">hosting </w:t>
      </w:r>
      <w:r w:rsidR="00EF1618">
        <w:t xml:space="preserve">of </w:t>
      </w:r>
      <w:r w:rsidR="00613326">
        <w:t xml:space="preserve">a </w:t>
      </w:r>
      <w:r w:rsidR="00EF1618">
        <w:t>mobile IAB</w:t>
      </w:r>
      <w:r w:rsidR="00613326">
        <w:t>-</w:t>
      </w:r>
      <w:r>
        <w:t>DU</w:t>
      </w:r>
      <w:r w:rsidR="00EF1618">
        <w:t xml:space="preserve"> to a dedicated CU that would</w:t>
      </w:r>
      <w:r w:rsidR="00585B5B">
        <w:t xml:space="preserve"> always</w:t>
      </w:r>
      <w:r w:rsidR="00EF1618">
        <w:t xml:space="preserve"> </w:t>
      </w:r>
      <w:r w:rsidR="002176F5">
        <w:t>anchor/terminate the F1 connection</w:t>
      </w:r>
      <w:r w:rsidR="00EF1618">
        <w:t>.</w:t>
      </w:r>
      <w:bookmarkEnd w:id="5"/>
    </w:p>
    <w:p w14:paraId="187E2740" w14:textId="1335485C" w:rsidR="00C02250" w:rsidRPr="005404D2" w:rsidRDefault="00891381" w:rsidP="005404D2">
      <w:pPr>
        <w:pStyle w:val="BodyText"/>
      </w:pPr>
      <w:r>
        <w:t>However, since s</w:t>
      </w:r>
      <w:r w:rsidR="00350DC2" w:rsidRPr="00D12C9F">
        <w:t xml:space="preserve">uch a discussion rather falls into the domain of RAN3, </w:t>
      </w:r>
      <w:proofErr w:type="gramStart"/>
      <w:r w:rsidR="0031105D">
        <w:t>in order for</w:t>
      </w:r>
      <w:proofErr w:type="gramEnd"/>
      <w:r w:rsidR="0031105D">
        <w:t xml:space="preserve"> RAN2 to make progresses </w:t>
      </w:r>
      <w:r w:rsidR="00350DC2" w:rsidRPr="00D12C9F">
        <w:t>we should</w:t>
      </w:r>
      <w:r w:rsidR="00350DC2">
        <w:t xml:space="preserve"> </w:t>
      </w:r>
      <w:r w:rsidR="0031105D">
        <w:t>first</w:t>
      </w:r>
      <w:r w:rsidR="00350DC2" w:rsidRPr="00D12C9F">
        <w:t xml:space="preserve"> wait for RAN3 to </w:t>
      </w:r>
      <w:r w:rsidR="0031105D">
        <w:t>agree</w:t>
      </w:r>
      <w:r w:rsidR="0031105D" w:rsidRPr="00D12C9F">
        <w:t xml:space="preserve"> </w:t>
      </w:r>
      <w:r w:rsidR="00350DC2" w:rsidRPr="00D12C9F">
        <w:t xml:space="preserve">on architecture/migration </w:t>
      </w:r>
      <w:r w:rsidR="0031105D">
        <w:t>features</w:t>
      </w:r>
      <w:r w:rsidR="0031105D" w:rsidRPr="00D12C9F">
        <w:t xml:space="preserve"> </w:t>
      </w:r>
      <w:r w:rsidR="00350DC2" w:rsidRPr="00D12C9F">
        <w:t>before we discuss further migration procedures in RAN2</w:t>
      </w:r>
      <w:r w:rsidR="00350DC2" w:rsidRPr="0031105D">
        <w:t>.</w:t>
      </w:r>
      <w:r w:rsidR="0031105D" w:rsidRPr="0031105D">
        <w:t xml:space="preserve"> Thus, we propose:</w:t>
      </w:r>
    </w:p>
    <w:p w14:paraId="5176746C" w14:textId="042B6921" w:rsidR="00D77777" w:rsidRPr="00A04F49" w:rsidRDefault="005404D2" w:rsidP="00B627E9">
      <w:pPr>
        <w:pStyle w:val="Proposal"/>
        <w:jc w:val="left"/>
      </w:pPr>
      <w:bookmarkStart w:id="6" w:name="_Toc111021153"/>
      <w:r>
        <w:t>RAN2 to w</w:t>
      </w:r>
      <w:r w:rsidR="00363E02">
        <w:t>ait for RAN3 to progress on architecture/migration updates</w:t>
      </w:r>
      <w:r w:rsidR="00B61CFF" w:rsidDel="00350DC2">
        <w:t>.</w:t>
      </w:r>
      <w:bookmarkEnd w:id="6"/>
    </w:p>
    <w:p w14:paraId="1352AD04" w14:textId="77777777" w:rsidR="00D77777" w:rsidRPr="00EE424A" w:rsidRDefault="00D77777" w:rsidP="00EE424A"/>
    <w:p w14:paraId="3FE5C0DF" w14:textId="554C3825" w:rsidR="002E4AAE" w:rsidRDefault="00F14DA2" w:rsidP="00F14DA2">
      <w:pPr>
        <w:pStyle w:val="Heading2"/>
      </w:pPr>
      <w:r>
        <w:t>2.2</w:t>
      </w:r>
      <w:r>
        <w:tab/>
      </w:r>
      <w:r w:rsidR="00F0091E">
        <w:t>Interference</w:t>
      </w:r>
      <w:r>
        <w:t xml:space="preserve"> aspects</w:t>
      </w:r>
    </w:p>
    <w:p w14:paraId="5D61A3AA" w14:textId="3636C986" w:rsidR="00CF6035" w:rsidRPr="00B627E9" w:rsidRDefault="00CF6035" w:rsidP="00CF6035">
      <w:pPr>
        <w:rPr>
          <w:rFonts w:ascii="Arial" w:hAnsi="Arial" w:cs="Arial"/>
        </w:rPr>
      </w:pPr>
      <w:r w:rsidRPr="00B627E9">
        <w:rPr>
          <w:rFonts w:ascii="Arial" w:hAnsi="Arial" w:cs="Arial"/>
        </w:rPr>
        <w:t xml:space="preserve">As mobile IAB node traverses through different paths crossing static cells, there may be </w:t>
      </w:r>
      <w:r w:rsidR="002F7802">
        <w:rPr>
          <w:rFonts w:ascii="Arial" w:hAnsi="Arial" w:cs="Arial"/>
        </w:rPr>
        <w:t>possible</w:t>
      </w:r>
      <w:r w:rsidR="002F7802" w:rsidRPr="00B627E9">
        <w:rPr>
          <w:rFonts w:ascii="Arial" w:hAnsi="Arial" w:cs="Arial"/>
        </w:rPr>
        <w:t xml:space="preserve"> </w:t>
      </w:r>
      <w:r w:rsidRPr="00B627E9">
        <w:rPr>
          <w:rFonts w:ascii="Arial" w:hAnsi="Arial" w:cs="Arial"/>
        </w:rPr>
        <w:t>collision</w:t>
      </w:r>
      <w:r w:rsidR="002F7802">
        <w:rPr>
          <w:rFonts w:ascii="Arial" w:hAnsi="Arial" w:cs="Arial"/>
        </w:rPr>
        <w:t>s</w:t>
      </w:r>
      <w:r w:rsidRPr="00B627E9">
        <w:rPr>
          <w:rFonts w:ascii="Arial" w:hAnsi="Arial" w:cs="Arial"/>
        </w:rPr>
        <w:t xml:space="preserve"> with respect to </w:t>
      </w:r>
      <w:r w:rsidR="002F7802">
        <w:rPr>
          <w:rFonts w:ascii="Arial" w:hAnsi="Arial" w:cs="Arial"/>
        </w:rPr>
        <w:t>e.g., RACH</w:t>
      </w:r>
      <w:r w:rsidRPr="00B627E9">
        <w:rPr>
          <w:rFonts w:ascii="Arial" w:hAnsi="Arial" w:cs="Arial"/>
        </w:rPr>
        <w:t xml:space="preserve"> preambles and even with the PCI</w:t>
      </w:r>
      <w:r w:rsidR="00D50115">
        <w:rPr>
          <w:rFonts w:ascii="Arial" w:hAnsi="Arial" w:cs="Arial"/>
        </w:rPr>
        <w:t>s</w:t>
      </w:r>
      <w:r w:rsidRPr="00B627E9">
        <w:rPr>
          <w:rFonts w:ascii="Arial" w:hAnsi="Arial" w:cs="Arial"/>
        </w:rPr>
        <w:t>. One way to solve the collision</w:t>
      </w:r>
      <w:r w:rsidR="002F7802">
        <w:rPr>
          <w:rFonts w:ascii="Arial" w:hAnsi="Arial" w:cs="Arial"/>
        </w:rPr>
        <w:t>, when it happens,</w:t>
      </w:r>
      <w:r w:rsidRPr="00B627E9">
        <w:rPr>
          <w:rFonts w:ascii="Arial" w:hAnsi="Arial" w:cs="Arial"/>
        </w:rPr>
        <w:t xml:space="preserve"> would be </w:t>
      </w:r>
      <w:r w:rsidR="00792912">
        <w:rPr>
          <w:rFonts w:ascii="Arial" w:hAnsi="Arial" w:cs="Arial"/>
        </w:rPr>
        <w:t>for the operator</w:t>
      </w:r>
      <w:r w:rsidR="002F7802">
        <w:rPr>
          <w:rFonts w:ascii="Arial" w:hAnsi="Arial" w:cs="Arial"/>
        </w:rPr>
        <w:t>s</w:t>
      </w:r>
      <w:r w:rsidR="00792912">
        <w:rPr>
          <w:rFonts w:ascii="Arial" w:hAnsi="Arial" w:cs="Arial"/>
        </w:rPr>
        <w:t xml:space="preserve"> </w:t>
      </w:r>
      <w:r w:rsidRPr="00B627E9">
        <w:rPr>
          <w:rFonts w:ascii="Arial" w:hAnsi="Arial" w:cs="Arial"/>
        </w:rPr>
        <w:t xml:space="preserve">to reserve resources </w:t>
      </w:r>
      <w:r w:rsidR="002F7802">
        <w:rPr>
          <w:rFonts w:ascii="Arial" w:hAnsi="Arial" w:cs="Arial"/>
        </w:rPr>
        <w:t>(e.g., RACH preamble or PCI IDs) just</w:t>
      </w:r>
      <w:r w:rsidRPr="00B627E9">
        <w:rPr>
          <w:rFonts w:ascii="Arial" w:hAnsi="Arial" w:cs="Arial"/>
        </w:rPr>
        <w:t xml:space="preserve"> for mobile IAB</w:t>
      </w:r>
      <w:r w:rsidR="002F7802">
        <w:rPr>
          <w:rFonts w:ascii="Arial" w:hAnsi="Arial" w:cs="Arial"/>
        </w:rPr>
        <w:t xml:space="preserve"> nodes</w:t>
      </w:r>
      <w:r w:rsidRPr="00B627E9">
        <w:rPr>
          <w:rFonts w:ascii="Arial" w:hAnsi="Arial" w:cs="Arial"/>
        </w:rPr>
        <w:t xml:space="preserve">. Especially when it comes to PCI, it is difficult to change it </w:t>
      </w:r>
      <w:r w:rsidR="002F7802">
        <w:rPr>
          <w:rFonts w:ascii="Arial" w:hAnsi="Arial" w:cs="Arial"/>
        </w:rPr>
        <w:t>dynamically</w:t>
      </w:r>
      <w:r w:rsidRPr="00B627E9">
        <w:rPr>
          <w:rFonts w:ascii="Arial" w:hAnsi="Arial" w:cs="Arial"/>
        </w:rPr>
        <w:t xml:space="preserve"> as it would impact the mobility and cell reselection procedures</w:t>
      </w:r>
      <w:r w:rsidR="002F7802">
        <w:rPr>
          <w:rFonts w:ascii="Arial" w:hAnsi="Arial" w:cs="Arial"/>
        </w:rPr>
        <w:t xml:space="preserve"> of the UE served by the cell</w:t>
      </w:r>
      <w:r w:rsidRPr="00B627E9">
        <w:rPr>
          <w:rFonts w:ascii="Arial" w:hAnsi="Arial" w:cs="Arial"/>
        </w:rPr>
        <w:t xml:space="preserve">. Hence, </w:t>
      </w:r>
      <w:r w:rsidR="002F7802">
        <w:rPr>
          <w:rFonts w:ascii="Arial" w:hAnsi="Arial" w:cs="Arial"/>
        </w:rPr>
        <w:t xml:space="preserve">one possible solution could be to have reserved </w:t>
      </w:r>
      <w:r w:rsidRPr="00B627E9">
        <w:rPr>
          <w:rFonts w:ascii="Arial" w:hAnsi="Arial" w:cs="Arial"/>
        </w:rPr>
        <w:t>PCI</w:t>
      </w:r>
      <w:r w:rsidR="002F7802">
        <w:rPr>
          <w:rFonts w:ascii="Arial" w:hAnsi="Arial" w:cs="Arial"/>
        </w:rPr>
        <w:t>s</w:t>
      </w:r>
      <w:r w:rsidRPr="00B627E9">
        <w:rPr>
          <w:rFonts w:ascii="Arial" w:hAnsi="Arial" w:cs="Arial"/>
        </w:rPr>
        <w:t xml:space="preserve"> for mobile IAB </w:t>
      </w:r>
      <w:r w:rsidR="002F7802">
        <w:rPr>
          <w:rFonts w:ascii="Arial" w:hAnsi="Arial" w:cs="Arial"/>
        </w:rPr>
        <w:t xml:space="preserve">nodes, where such reserved PCIs </w:t>
      </w:r>
      <w:r w:rsidRPr="00B627E9">
        <w:rPr>
          <w:rFonts w:ascii="Arial" w:hAnsi="Arial" w:cs="Arial"/>
        </w:rPr>
        <w:t>can by</w:t>
      </w:r>
      <w:r w:rsidRPr="00B627E9" w:rsidDel="002F7802">
        <w:rPr>
          <w:rFonts w:ascii="Arial" w:hAnsi="Arial" w:cs="Arial"/>
        </w:rPr>
        <w:t xml:space="preserve"> </w:t>
      </w:r>
      <w:r w:rsidR="002F7802">
        <w:rPr>
          <w:rFonts w:ascii="Arial" w:hAnsi="Arial" w:cs="Arial"/>
        </w:rPr>
        <w:t>conventional network</w:t>
      </w:r>
      <w:r w:rsidR="002F7802" w:rsidRPr="00B627E9">
        <w:rPr>
          <w:rFonts w:ascii="Arial" w:hAnsi="Arial" w:cs="Arial"/>
        </w:rPr>
        <w:t xml:space="preserve"> </w:t>
      </w:r>
      <w:r w:rsidRPr="00B627E9">
        <w:rPr>
          <w:rFonts w:ascii="Arial" w:hAnsi="Arial" w:cs="Arial"/>
        </w:rPr>
        <w:t>nodes.</w:t>
      </w:r>
    </w:p>
    <w:p w14:paraId="1E87D670" w14:textId="18AA5C5B" w:rsidR="00CF6035" w:rsidRPr="00F02E11" w:rsidRDefault="002F7802" w:rsidP="002F7802">
      <w:pPr>
        <w:pStyle w:val="Observation"/>
        <w:ind w:left="1701" w:hanging="1701"/>
      </w:pPr>
      <w:bookmarkStart w:id="7" w:name="_Toc111021047"/>
      <w:r>
        <w:t>If there are collision events due to the mobility of the IAB node, o</w:t>
      </w:r>
      <w:r w:rsidRPr="002F7802">
        <w:t xml:space="preserve">ne </w:t>
      </w:r>
      <w:r>
        <w:t>possible solution to solve</w:t>
      </w:r>
      <w:r w:rsidRPr="002F7802">
        <w:t xml:space="preserve"> </w:t>
      </w:r>
      <w:r>
        <w:t>such</w:t>
      </w:r>
      <w:r w:rsidRPr="002F7802">
        <w:t xml:space="preserve"> collision</w:t>
      </w:r>
      <w:r>
        <w:t xml:space="preserve">s </w:t>
      </w:r>
      <w:r w:rsidRPr="002F7802">
        <w:t>would be for the operators to reserve resources (e.g., RACH preamble</w:t>
      </w:r>
      <w:r w:rsidR="009C7640">
        <w:t xml:space="preserve">, </w:t>
      </w:r>
      <w:r w:rsidR="009C7640" w:rsidRPr="009C7640">
        <w:t>root sequence</w:t>
      </w:r>
      <w:r w:rsidRPr="002F7802">
        <w:t xml:space="preserve"> or PCI IDs) just for mobile IAB nodes</w:t>
      </w:r>
      <w:r w:rsidR="00CF6035" w:rsidRPr="00F02E11">
        <w:t>.</w:t>
      </w:r>
      <w:bookmarkEnd w:id="7"/>
    </w:p>
    <w:p w14:paraId="43DD86D4" w14:textId="7C9DABF0" w:rsidR="00320021" w:rsidRDefault="0014256C" w:rsidP="00CF6035">
      <w:pPr>
        <w:rPr>
          <w:rFonts w:ascii="Arial" w:hAnsi="Arial" w:cs="Arial"/>
        </w:rPr>
      </w:pPr>
      <w:r>
        <w:rPr>
          <w:rFonts w:ascii="Arial" w:hAnsi="Arial" w:cs="Arial"/>
        </w:rPr>
        <w:t xml:space="preserve">Focusing on the PCI allocation for a mobile IAB, </w:t>
      </w:r>
      <w:r w:rsidR="00671FAA">
        <w:rPr>
          <w:rFonts w:ascii="Arial" w:hAnsi="Arial" w:cs="Arial"/>
        </w:rPr>
        <w:t>i</w:t>
      </w:r>
      <w:r w:rsidR="00415B62" w:rsidRPr="006A6BB1">
        <w:rPr>
          <w:rFonts w:ascii="Arial" w:hAnsi="Arial" w:cs="Arial"/>
        </w:rPr>
        <w:t xml:space="preserve">t may be difficult to realize </w:t>
      </w:r>
      <w:r w:rsidR="00671FAA">
        <w:rPr>
          <w:rFonts w:ascii="Arial" w:hAnsi="Arial" w:cs="Arial"/>
        </w:rPr>
        <w:t>in a timely way</w:t>
      </w:r>
      <w:r w:rsidR="00DB5786">
        <w:rPr>
          <w:rFonts w:ascii="Arial" w:hAnsi="Arial" w:cs="Arial"/>
        </w:rPr>
        <w:t xml:space="preserve"> </w:t>
      </w:r>
      <w:r w:rsidR="00671FAA">
        <w:rPr>
          <w:rFonts w:ascii="Arial" w:hAnsi="Arial" w:cs="Arial"/>
        </w:rPr>
        <w:t>that a</w:t>
      </w:r>
      <w:r w:rsidR="00415B62" w:rsidRPr="006A6BB1">
        <w:rPr>
          <w:rFonts w:ascii="Arial" w:hAnsi="Arial" w:cs="Arial"/>
        </w:rPr>
        <w:t xml:space="preserve"> PCI </w:t>
      </w:r>
      <w:r w:rsidR="00671FAA">
        <w:rPr>
          <w:rFonts w:ascii="Arial" w:hAnsi="Arial" w:cs="Arial"/>
        </w:rPr>
        <w:t xml:space="preserve">has </w:t>
      </w:r>
      <w:r w:rsidR="009C7640">
        <w:rPr>
          <w:rFonts w:ascii="Arial" w:hAnsi="Arial" w:cs="Arial"/>
        </w:rPr>
        <w:t>changed,</w:t>
      </w:r>
      <w:r w:rsidR="00671FAA">
        <w:rPr>
          <w:rFonts w:ascii="Arial" w:hAnsi="Arial" w:cs="Arial"/>
        </w:rPr>
        <w:t xml:space="preserve"> and this </w:t>
      </w:r>
      <w:r w:rsidR="00415B62" w:rsidRPr="006A6BB1">
        <w:rPr>
          <w:rFonts w:ascii="Arial" w:hAnsi="Arial" w:cs="Arial"/>
        </w:rPr>
        <w:t xml:space="preserve">would </w:t>
      </w:r>
      <w:r w:rsidR="00671FAA">
        <w:rPr>
          <w:rFonts w:ascii="Arial" w:hAnsi="Arial" w:cs="Arial"/>
        </w:rPr>
        <w:t xml:space="preserve">have an </w:t>
      </w:r>
      <w:r w:rsidR="00415B62" w:rsidRPr="006A6BB1">
        <w:rPr>
          <w:rFonts w:ascii="Arial" w:hAnsi="Arial" w:cs="Arial"/>
        </w:rPr>
        <w:t>impact</w:t>
      </w:r>
      <w:r w:rsidR="00734842" w:rsidRPr="006A6BB1">
        <w:rPr>
          <w:rFonts w:ascii="Arial" w:hAnsi="Arial" w:cs="Arial"/>
        </w:rPr>
        <w:t xml:space="preserve"> </w:t>
      </w:r>
      <w:r w:rsidR="00671FAA">
        <w:rPr>
          <w:rFonts w:ascii="Arial" w:hAnsi="Arial" w:cs="Arial"/>
        </w:rPr>
        <w:t xml:space="preserve">on </w:t>
      </w:r>
      <w:r w:rsidR="00734842" w:rsidRPr="006A6BB1">
        <w:rPr>
          <w:rFonts w:ascii="Arial" w:hAnsi="Arial" w:cs="Arial"/>
        </w:rPr>
        <w:t xml:space="preserve">both </w:t>
      </w:r>
      <w:r w:rsidR="00671FAA">
        <w:rPr>
          <w:rFonts w:ascii="Arial" w:hAnsi="Arial" w:cs="Arial"/>
        </w:rPr>
        <w:t>the RRC procedures of RRC_IDLE</w:t>
      </w:r>
      <w:r w:rsidR="00671FAA" w:rsidRPr="006A6BB1">
        <w:rPr>
          <w:rFonts w:ascii="Arial" w:hAnsi="Arial" w:cs="Arial"/>
        </w:rPr>
        <w:t xml:space="preserve"> </w:t>
      </w:r>
      <w:r w:rsidR="00734842" w:rsidRPr="006A6BB1">
        <w:rPr>
          <w:rFonts w:ascii="Arial" w:hAnsi="Arial" w:cs="Arial"/>
        </w:rPr>
        <w:t xml:space="preserve">and </w:t>
      </w:r>
      <w:r w:rsidR="00671FAA">
        <w:rPr>
          <w:rFonts w:ascii="Arial" w:hAnsi="Arial" w:cs="Arial"/>
        </w:rPr>
        <w:t>RRC_CONNECTED</w:t>
      </w:r>
      <w:r w:rsidR="00671FAA" w:rsidRPr="006A6BB1">
        <w:rPr>
          <w:rFonts w:ascii="Arial" w:hAnsi="Arial" w:cs="Arial"/>
        </w:rPr>
        <w:t xml:space="preserve"> </w:t>
      </w:r>
      <w:r w:rsidR="00734842" w:rsidRPr="006A6BB1">
        <w:rPr>
          <w:rFonts w:ascii="Arial" w:hAnsi="Arial" w:cs="Arial"/>
        </w:rPr>
        <w:t>mode</w:t>
      </w:r>
      <w:r w:rsidR="00415B62" w:rsidRPr="006A6BB1">
        <w:rPr>
          <w:rFonts w:ascii="Arial" w:hAnsi="Arial" w:cs="Arial"/>
        </w:rPr>
        <w:t xml:space="preserve"> UEs</w:t>
      </w:r>
      <w:r w:rsidR="00734842" w:rsidRPr="006A6BB1">
        <w:rPr>
          <w:rFonts w:ascii="Arial" w:hAnsi="Arial" w:cs="Arial"/>
        </w:rPr>
        <w:t xml:space="preserve">. </w:t>
      </w:r>
      <w:r w:rsidR="00671FAA">
        <w:rPr>
          <w:rFonts w:ascii="Arial" w:hAnsi="Arial" w:cs="Arial"/>
        </w:rPr>
        <w:t xml:space="preserve">In fact, if </w:t>
      </w:r>
      <w:r w:rsidR="003C107A">
        <w:rPr>
          <w:rFonts w:ascii="Arial" w:hAnsi="Arial" w:cs="Arial"/>
        </w:rPr>
        <w:t>it</w:t>
      </w:r>
      <w:r w:rsidR="00671FAA">
        <w:rPr>
          <w:rFonts w:ascii="Arial" w:hAnsi="Arial" w:cs="Arial"/>
        </w:rPr>
        <w:t xml:space="preserve"> is decided to change dynamically a PCI every time that there is conflict, a</w:t>
      </w:r>
      <w:r w:rsidR="00734842" w:rsidRPr="006A6BB1">
        <w:rPr>
          <w:rFonts w:ascii="Arial" w:hAnsi="Arial" w:cs="Arial"/>
        </w:rPr>
        <w:t xml:space="preserve">ll the UEs </w:t>
      </w:r>
      <w:r w:rsidR="00671FAA">
        <w:rPr>
          <w:rFonts w:ascii="Arial" w:hAnsi="Arial" w:cs="Arial"/>
        </w:rPr>
        <w:t xml:space="preserve">would </w:t>
      </w:r>
      <w:r w:rsidR="00734842" w:rsidRPr="006A6BB1">
        <w:rPr>
          <w:rFonts w:ascii="Arial" w:hAnsi="Arial" w:cs="Arial"/>
        </w:rPr>
        <w:t>need to re-synchronize</w:t>
      </w:r>
      <w:r w:rsidR="00706F7B" w:rsidRPr="006A6BB1">
        <w:rPr>
          <w:rFonts w:ascii="Arial" w:hAnsi="Arial" w:cs="Arial"/>
        </w:rPr>
        <w:t xml:space="preserve"> and</w:t>
      </w:r>
      <w:r w:rsidR="00734842" w:rsidRPr="006A6BB1">
        <w:rPr>
          <w:rFonts w:ascii="Arial" w:hAnsi="Arial" w:cs="Arial"/>
        </w:rPr>
        <w:t xml:space="preserve"> the existing connection would also be released</w:t>
      </w:r>
      <w:r w:rsidR="00671FAA">
        <w:rPr>
          <w:rFonts w:ascii="Arial" w:hAnsi="Arial" w:cs="Arial"/>
        </w:rPr>
        <w:t>, thus causing a connectivity interruption for the served UEs</w:t>
      </w:r>
      <w:r w:rsidR="003A7972" w:rsidRPr="006A6BB1">
        <w:rPr>
          <w:rFonts w:ascii="Arial" w:hAnsi="Arial" w:cs="Arial"/>
        </w:rPr>
        <w:t>.</w:t>
      </w:r>
      <w:r w:rsidR="001C0D03" w:rsidRPr="006A6BB1">
        <w:rPr>
          <w:rFonts w:ascii="Arial" w:hAnsi="Arial" w:cs="Arial"/>
        </w:rPr>
        <w:t xml:space="preserve"> </w:t>
      </w:r>
    </w:p>
    <w:p w14:paraId="65A1B4DA" w14:textId="1EB6EC07" w:rsidR="00B90A96" w:rsidRDefault="00671FAA" w:rsidP="00CC3E0F">
      <w:pPr>
        <w:rPr>
          <w:rFonts w:ascii="Arial" w:hAnsi="Arial" w:cs="Arial"/>
        </w:rPr>
      </w:pPr>
      <w:r>
        <w:rPr>
          <w:rFonts w:ascii="Arial" w:hAnsi="Arial" w:cs="Arial"/>
        </w:rPr>
        <w:t>A further</w:t>
      </w:r>
      <w:r w:rsidRPr="006A6BB1">
        <w:rPr>
          <w:rFonts w:ascii="Arial" w:hAnsi="Arial" w:cs="Arial"/>
        </w:rPr>
        <w:t xml:space="preserve"> </w:t>
      </w:r>
      <w:r>
        <w:rPr>
          <w:rFonts w:ascii="Arial" w:hAnsi="Arial" w:cs="Arial"/>
        </w:rPr>
        <w:t xml:space="preserve">existing </w:t>
      </w:r>
      <w:r w:rsidR="00CC3E0F" w:rsidRPr="006A6BB1">
        <w:rPr>
          <w:rFonts w:ascii="Arial" w:hAnsi="Arial" w:cs="Arial"/>
        </w:rPr>
        <w:t xml:space="preserve">approach </w:t>
      </w:r>
      <w:r>
        <w:rPr>
          <w:rFonts w:ascii="Arial" w:hAnsi="Arial" w:cs="Arial"/>
        </w:rPr>
        <w:t>that can be used</w:t>
      </w:r>
      <w:r w:rsidR="00CC3E0F" w:rsidRPr="006A6BB1">
        <w:rPr>
          <w:rFonts w:ascii="Arial" w:hAnsi="Arial" w:cs="Arial"/>
        </w:rPr>
        <w:t xml:space="preserve"> to avoiding PCI collision is </w:t>
      </w:r>
      <w:r>
        <w:rPr>
          <w:rFonts w:ascii="Arial" w:hAnsi="Arial" w:cs="Arial"/>
        </w:rPr>
        <w:t xml:space="preserve">the </w:t>
      </w:r>
      <w:r w:rsidR="00CC3E0F" w:rsidRPr="00671FAA">
        <w:rPr>
          <w:rFonts w:ascii="Arial" w:hAnsi="Arial" w:cs="Arial"/>
        </w:rPr>
        <w:t>partitioning of PCI space</w:t>
      </w:r>
      <w:r w:rsidR="00CC3E0F" w:rsidRPr="006A6BB1">
        <w:rPr>
          <w:rFonts w:ascii="Arial" w:hAnsi="Arial" w:cs="Arial"/>
          <w:b/>
        </w:rPr>
        <w:t xml:space="preserve"> </w:t>
      </w:r>
      <w:r w:rsidR="00CC3E0F" w:rsidRPr="006A6BB1">
        <w:rPr>
          <w:rFonts w:ascii="Arial" w:hAnsi="Arial" w:cs="Arial"/>
        </w:rPr>
        <w:t>(</w:t>
      </w:r>
      <w:r>
        <w:rPr>
          <w:rFonts w:ascii="Arial" w:hAnsi="Arial" w:cs="Arial"/>
        </w:rPr>
        <w:t xml:space="preserve">i.e., there are </w:t>
      </w:r>
      <w:r w:rsidR="00CC3E0F" w:rsidRPr="006A6BB1">
        <w:rPr>
          <w:rFonts w:ascii="Arial" w:hAnsi="Arial" w:cs="Arial"/>
        </w:rPr>
        <w:t xml:space="preserve">1008 possible PCI </w:t>
      </w:r>
      <w:r>
        <w:rPr>
          <w:rFonts w:ascii="Arial" w:hAnsi="Arial" w:cs="Arial"/>
        </w:rPr>
        <w:t>IDs in case of NR</w:t>
      </w:r>
      <w:r w:rsidR="00CC3E0F" w:rsidRPr="006A6BB1">
        <w:rPr>
          <w:rFonts w:ascii="Arial" w:hAnsi="Arial" w:cs="Arial"/>
        </w:rPr>
        <w:t xml:space="preserve">), where a dedicated range of PCI values would be allocated exclusively to </w:t>
      </w:r>
      <w:r>
        <w:rPr>
          <w:rFonts w:ascii="Arial" w:hAnsi="Arial" w:cs="Arial"/>
        </w:rPr>
        <w:t xml:space="preserve">mobile IAB </w:t>
      </w:r>
      <w:r w:rsidR="00CC3E0F" w:rsidRPr="006A6BB1">
        <w:rPr>
          <w:rFonts w:ascii="Arial" w:hAnsi="Arial" w:cs="Arial"/>
        </w:rPr>
        <w:t xml:space="preserve">nodes. This approach could be facilitated by the fact that the trajectory of the </w:t>
      </w:r>
      <w:r>
        <w:rPr>
          <w:rFonts w:ascii="Arial" w:hAnsi="Arial" w:cs="Arial"/>
        </w:rPr>
        <w:t>mobile IAB</w:t>
      </w:r>
      <w:r w:rsidRPr="006A6BB1">
        <w:rPr>
          <w:rFonts w:ascii="Arial" w:hAnsi="Arial" w:cs="Arial"/>
        </w:rPr>
        <w:t xml:space="preserve"> </w:t>
      </w:r>
      <w:r w:rsidR="00CC3E0F" w:rsidRPr="006A6BB1">
        <w:rPr>
          <w:rFonts w:ascii="Arial" w:hAnsi="Arial" w:cs="Arial"/>
        </w:rPr>
        <w:t xml:space="preserve">may be known in advance. </w:t>
      </w:r>
    </w:p>
    <w:p w14:paraId="3E6034FF" w14:textId="1FAC9E17" w:rsidR="00CC3E0F" w:rsidRDefault="00DA0D70" w:rsidP="006A6BB1">
      <w:pPr>
        <w:rPr>
          <w:rFonts w:ascii="Arial" w:hAnsi="Arial" w:cs="Arial"/>
        </w:rPr>
      </w:pPr>
      <w:r>
        <w:rPr>
          <w:rFonts w:ascii="Arial" w:hAnsi="Arial" w:cs="Arial"/>
        </w:rPr>
        <w:lastRenderedPageBreak/>
        <w:t>On top of this</w:t>
      </w:r>
      <w:r w:rsidR="00B90A96">
        <w:rPr>
          <w:rFonts w:ascii="Arial" w:hAnsi="Arial" w:cs="Arial"/>
        </w:rPr>
        <w:t xml:space="preserve">, one should also realize that the </w:t>
      </w:r>
      <w:r>
        <w:rPr>
          <w:rFonts w:ascii="Arial" w:hAnsi="Arial" w:cs="Arial"/>
        </w:rPr>
        <w:t xml:space="preserve">mobile IAB may </w:t>
      </w:r>
      <w:r w:rsidR="00B90A96">
        <w:rPr>
          <w:rFonts w:ascii="Arial" w:hAnsi="Arial" w:cs="Arial"/>
        </w:rPr>
        <w:t>mov</w:t>
      </w:r>
      <w:r>
        <w:rPr>
          <w:rFonts w:ascii="Arial" w:hAnsi="Arial" w:cs="Arial"/>
        </w:rPr>
        <w:t>e</w:t>
      </w:r>
      <w:r w:rsidR="00B90A96">
        <w:rPr>
          <w:rFonts w:ascii="Arial" w:hAnsi="Arial" w:cs="Arial"/>
        </w:rPr>
        <w:t xml:space="preserve"> at certain speed and hence the duration </w:t>
      </w:r>
      <w:r>
        <w:rPr>
          <w:rFonts w:ascii="Arial" w:hAnsi="Arial" w:cs="Arial"/>
        </w:rPr>
        <w:t>on which there is a PCI collision with a neighbour cell (i.e., either another mobile IAB or a conventional network node)</w:t>
      </w:r>
      <w:r w:rsidR="00B90A96">
        <w:rPr>
          <w:rFonts w:ascii="Arial" w:hAnsi="Arial" w:cs="Arial"/>
        </w:rPr>
        <w:t xml:space="preserve"> can be also very short. </w:t>
      </w:r>
    </w:p>
    <w:p w14:paraId="1F92189E" w14:textId="5DCE31EB" w:rsidR="00B5250C" w:rsidRDefault="00DA0D70" w:rsidP="00B5250C">
      <w:pPr>
        <w:pStyle w:val="CommentText"/>
      </w:pPr>
      <w:r>
        <w:rPr>
          <w:rFonts w:ascii="Arial" w:hAnsi="Arial" w:cs="Arial"/>
          <w:lang w:val="en-US"/>
        </w:rPr>
        <w:t xml:space="preserve">In conclusion, what this want to highlight is that there are already approached defined (e.g., in RAN3) to handle the PCI collision and those approaches should be already re-used for the case of the mobile IAB nodes. Hence, these solutions should be considered the baseline. </w:t>
      </w:r>
    </w:p>
    <w:p w14:paraId="2C155993" w14:textId="36A5E391" w:rsidR="00DA0D70" w:rsidRPr="00DA0D70" w:rsidRDefault="00DA0D70" w:rsidP="00A65766">
      <w:pPr>
        <w:pStyle w:val="Proposal"/>
      </w:pPr>
      <w:bookmarkStart w:id="8" w:name="_Toc111021154"/>
      <w:r>
        <w:t>Existing</w:t>
      </w:r>
      <w:r w:rsidRPr="0046089F">
        <w:t xml:space="preserve"> PCI collision avoidance</w:t>
      </w:r>
      <w:r w:rsidRPr="00F9207E">
        <w:t xml:space="preserve"> </w:t>
      </w:r>
      <w:r>
        <w:t>mechanism</w:t>
      </w:r>
      <w:r w:rsidR="00124EFC">
        <w:t>s</w:t>
      </w:r>
      <w:r>
        <w:t xml:space="preserve"> shall be considered as baseline for mobile IAB</w:t>
      </w:r>
      <w:r w:rsidRPr="0046089F">
        <w:t>.</w:t>
      </w:r>
      <w:bookmarkEnd w:id="8"/>
    </w:p>
    <w:p w14:paraId="39FBB317" w14:textId="57FDF53F" w:rsidR="00124EFC" w:rsidRDefault="00124EFC" w:rsidP="00671FAA">
      <w:pPr>
        <w:rPr>
          <w:rFonts w:ascii="Arial" w:hAnsi="Arial" w:cs="Arial"/>
        </w:rPr>
      </w:pPr>
      <w:r>
        <w:rPr>
          <w:rFonts w:ascii="Arial" w:hAnsi="Arial" w:cs="Arial"/>
        </w:rPr>
        <w:t xml:space="preserve">When it comes to RACH collision, instead, a similar discussion as the PCI collision can be considered. Here of course the difference is that, for the case of RACH, what may collide between a mobile IAB </w:t>
      </w:r>
      <w:proofErr w:type="gramStart"/>
      <w:r>
        <w:rPr>
          <w:rFonts w:ascii="Arial" w:hAnsi="Arial" w:cs="Arial"/>
        </w:rPr>
        <w:t>node</w:t>
      </w:r>
      <w:proofErr w:type="gramEnd"/>
      <w:r>
        <w:rPr>
          <w:rFonts w:ascii="Arial" w:hAnsi="Arial" w:cs="Arial"/>
        </w:rPr>
        <w:t xml:space="preserve"> and another network node is e.g., the RACH root sequence assigned to each node. Nevertheless, as for the case of the PCI IDs, where are already existing mechanisms where different RACH root sequences may be assigned to different network node and </w:t>
      </w:r>
      <w:r w:rsidR="00DB5786">
        <w:rPr>
          <w:rFonts w:ascii="Arial" w:hAnsi="Arial" w:cs="Arial"/>
        </w:rPr>
        <w:t>here,</w:t>
      </w:r>
      <w:r>
        <w:rPr>
          <w:rFonts w:ascii="Arial" w:hAnsi="Arial" w:cs="Arial"/>
        </w:rPr>
        <w:t xml:space="preserve"> we would need to rely on the operators to guarantee that no collision would happen in this case. However, even if a collision would happen, the RACH root sequence on a mobile IAB (or another network node) can anyway be reconfigured.</w:t>
      </w:r>
    </w:p>
    <w:p w14:paraId="6A789B4F" w14:textId="6AA8CEEE" w:rsidR="00124EFC" w:rsidRDefault="00124EFC" w:rsidP="00671FAA">
      <w:pPr>
        <w:rPr>
          <w:rFonts w:ascii="Arial" w:hAnsi="Arial" w:cs="Arial"/>
        </w:rPr>
      </w:pPr>
      <w:r>
        <w:rPr>
          <w:rFonts w:ascii="Arial" w:hAnsi="Arial" w:cs="Arial"/>
        </w:rPr>
        <w:t>What is important to highlight in this case is that updating RACH information on a mobile IAB (or another network node) does not have an impact on UEs in RRC_CONNECTED and thus</w:t>
      </w:r>
      <w:r w:rsidR="000E5C6F">
        <w:rPr>
          <w:rFonts w:ascii="Arial" w:hAnsi="Arial" w:cs="Arial"/>
        </w:rPr>
        <w:t xml:space="preserve"> is does not cause any connectivity interruption for them. Here the only impact would be for UEs in RRC_IDLE and RRC_INACTIVE since they would need to read again the system information but anyway one can say that the impact in anyway limited as these UEs do not have an active connection with the mobile IAB. Thus, we propose:</w:t>
      </w:r>
    </w:p>
    <w:p w14:paraId="105A6A79" w14:textId="63FC5D71" w:rsidR="000E5C6F" w:rsidRDefault="000E5C6F" w:rsidP="000E5C6F">
      <w:pPr>
        <w:pStyle w:val="Proposal"/>
      </w:pPr>
      <w:bookmarkStart w:id="9" w:name="_Toc111021155"/>
      <w:r>
        <w:t>Existing RACH collision avoidance mechanism shall be considered as baseline for mobile IAB.</w:t>
      </w:r>
      <w:bookmarkEnd w:id="9"/>
    </w:p>
    <w:p w14:paraId="21CCB866" w14:textId="3F578ADA" w:rsidR="00567EDC" w:rsidRDefault="000E5C6F" w:rsidP="00A65766">
      <w:pPr>
        <w:pStyle w:val="BodyText"/>
      </w:pPr>
      <w:r>
        <w:t>Nevertheless, it would be good for RAN2 to really understand if the interference is reall</w:t>
      </w:r>
      <w:r w:rsidR="00CB13D9">
        <w:t>y an issue for the case of mobile IAB and whether additional solutions on top of the existing one would be need. According to this, it would be beneficial if RAN2 asks RAN1 on whether they see potential interference problem for the mobile IAB scenarios and what these problems are (if any). Thus, we propose:</w:t>
      </w:r>
    </w:p>
    <w:p w14:paraId="721BCC9A" w14:textId="4F3B16B1" w:rsidR="00567EDC" w:rsidRPr="00CB13D9" w:rsidRDefault="00CB13D9" w:rsidP="00A65766">
      <w:pPr>
        <w:pStyle w:val="Proposal"/>
        <w:rPr>
          <w:rFonts w:cs="Arial"/>
        </w:rPr>
      </w:pPr>
      <w:bookmarkStart w:id="10" w:name="_Toc111021055"/>
      <w:bookmarkStart w:id="11" w:name="_Toc111021156"/>
      <w:r>
        <w:rPr>
          <w:rFonts w:cs="Arial"/>
        </w:rPr>
        <w:t>RAN2 to</w:t>
      </w:r>
      <w:bookmarkEnd w:id="10"/>
      <w:r>
        <w:rPr>
          <w:rFonts w:cs="Arial"/>
        </w:rPr>
        <w:t xml:space="preserve"> </w:t>
      </w:r>
      <w:bookmarkStart w:id="12" w:name="_Toc111021056"/>
      <w:r w:rsidRPr="00A65766">
        <w:t>s</w:t>
      </w:r>
      <w:r w:rsidR="00115F10" w:rsidRPr="00A65766">
        <w:t xml:space="preserve">end an LS to RAN1 </w:t>
      </w:r>
      <w:r w:rsidRPr="00A65766">
        <w:t>to ask whether potential</w:t>
      </w:r>
      <w:r w:rsidR="00115F10" w:rsidRPr="00A65766">
        <w:t xml:space="preserve"> interference issue</w:t>
      </w:r>
      <w:r w:rsidRPr="00A65766">
        <w:t>s are envisioned for the case of a mobile IAB scenario</w:t>
      </w:r>
      <w:r w:rsidR="00115F10" w:rsidRPr="00115F10">
        <w:rPr>
          <w:noProof/>
        </w:rPr>
        <w:t>.</w:t>
      </w:r>
      <w:bookmarkStart w:id="13" w:name="_Toc111021057"/>
      <w:bookmarkEnd w:id="11"/>
      <w:bookmarkEnd w:id="12"/>
      <w:bookmarkEnd w:id="13"/>
    </w:p>
    <w:p w14:paraId="20D74898" w14:textId="7C799755" w:rsidR="00C01F33" w:rsidRPr="00CE0424" w:rsidRDefault="00F14DA2" w:rsidP="00CE0424">
      <w:pPr>
        <w:pStyle w:val="Heading1"/>
      </w:pPr>
      <w:r>
        <w:t>3</w:t>
      </w:r>
      <w:r>
        <w:tab/>
      </w:r>
      <w:r w:rsidR="00C01F33"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E69479E" w14:textId="77777777" w:rsidR="00CB13D9" w:rsidRDefault="006F65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rPr>
        <w:fldChar w:fldCharType="begin"/>
      </w:r>
      <w:r>
        <w:rPr>
          <w:b w:val="0"/>
          <w:bCs/>
        </w:rPr>
        <w:instrText xml:space="preserve"> TOC \f O \n \h \z \t "Observation" \c </w:instrText>
      </w:r>
      <w:r>
        <w:rPr>
          <w:b w:val="0"/>
          <w:bCs/>
        </w:rPr>
        <w:fldChar w:fldCharType="separate"/>
      </w:r>
      <w:hyperlink w:anchor="_Toc111021042" w:history="1">
        <w:r w:rsidR="00CB13D9" w:rsidRPr="00740517">
          <w:rPr>
            <w:rStyle w:val="Hyperlink"/>
            <w:noProof/>
          </w:rPr>
          <w:t>Observation 1</w:t>
        </w:r>
        <w:r w:rsidR="00CB13D9">
          <w:rPr>
            <w:rFonts w:asciiTheme="minorHAnsi" w:eastAsiaTheme="minorEastAsia" w:hAnsiTheme="minorHAnsi" w:cstheme="minorBidi"/>
            <w:b w:val="0"/>
            <w:noProof/>
            <w:sz w:val="24"/>
            <w:szCs w:val="24"/>
            <w:lang w:val="en-US" w:eastAsia="en-GB"/>
          </w:rPr>
          <w:tab/>
        </w:r>
        <w:r w:rsidR="00CB13D9" w:rsidRPr="00740517">
          <w:rPr>
            <w:rStyle w:val="Hyperlink"/>
            <w:noProof/>
          </w:rPr>
          <w:t>Mandating that the mIAB-DU and the served UEs are handed over every time the mIAB-MT is handed over between donor CUs, would imply frequent and complex reconfigurations with a significant impact on the connected UEs due to the change of the serving donor CU.</w:t>
        </w:r>
      </w:hyperlink>
    </w:p>
    <w:p w14:paraId="77ED3816" w14:textId="77777777" w:rsidR="00CB13D9"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043" w:history="1">
        <w:r w:rsidR="00CB13D9" w:rsidRPr="00740517">
          <w:rPr>
            <w:rStyle w:val="Hyperlink"/>
            <w:noProof/>
          </w:rPr>
          <w:t>Observation 2</w:t>
        </w:r>
        <w:r w:rsidR="00CB13D9">
          <w:rPr>
            <w:rFonts w:asciiTheme="minorHAnsi" w:eastAsiaTheme="minorEastAsia" w:hAnsiTheme="minorHAnsi" w:cstheme="minorBidi"/>
            <w:b w:val="0"/>
            <w:noProof/>
            <w:sz w:val="24"/>
            <w:szCs w:val="24"/>
            <w:lang w:val="en-US" w:eastAsia="en-GB"/>
          </w:rPr>
          <w:tab/>
        </w:r>
        <w:r w:rsidR="00CB13D9" w:rsidRPr="00740517">
          <w:rPr>
            <w:rStyle w:val="Hyperlink"/>
            <w:noProof/>
          </w:rPr>
          <w:t>Mandating that the mIAB-DU and the served UEs are handed over every time the mIAB-MT is handed over between donor CUs may lead to slowing down of mIAB-MT handover (and a possible failure), or to an unsynchronized state of mIAB-DU’s F1 connection.</w:t>
        </w:r>
      </w:hyperlink>
    </w:p>
    <w:p w14:paraId="628D8CF7" w14:textId="77777777" w:rsidR="00CB13D9"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044" w:history="1">
        <w:r w:rsidR="00CB13D9" w:rsidRPr="00740517">
          <w:rPr>
            <w:rStyle w:val="Hyperlink"/>
            <w:noProof/>
          </w:rPr>
          <w:t>Observation 3</w:t>
        </w:r>
        <w:r w:rsidR="00CB13D9">
          <w:rPr>
            <w:rFonts w:asciiTheme="minorHAnsi" w:eastAsiaTheme="minorEastAsia" w:hAnsiTheme="minorHAnsi" w:cstheme="minorBidi"/>
            <w:b w:val="0"/>
            <w:noProof/>
            <w:sz w:val="24"/>
            <w:szCs w:val="24"/>
            <w:lang w:val="en-US" w:eastAsia="en-GB"/>
          </w:rPr>
          <w:tab/>
        </w:r>
        <w:r w:rsidR="00CB13D9" w:rsidRPr="00740517">
          <w:rPr>
            <w:rStyle w:val="Hyperlink"/>
            <w:noProof/>
          </w:rPr>
          <w:t>A joint mIAB-MT and mIAB-DU HO may fail in case the mIAB-MT is successfully handed over, but it turns out that the target donor CU cannot accept the mIAB-DU (e.g., for reasons of traffic load or service latency).</w:t>
        </w:r>
      </w:hyperlink>
    </w:p>
    <w:p w14:paraId="6B65CC00" w14:textId="77777777" w:rsidR="00CB13D9"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045" w:history="1">
        <w:r w:rsidR="00CB13D9" w:rsidRPr="00740517">
          <w:rPr>
            <w:rStyle w:val="Hyperlink"/>
            <w:noProof/>
          </w:rPr>
          <w:t>Observation 4</w:t>
        </w:r>
        <w:r w:rsidR="00CB13D9">
          <w:rPr>
            <w:rFonts w:asciiTheme="minorHAnsi" w:eastAsiaTheme="minorEastAsia" w:hAnsiTheme="minorHAnsi" w:cstheme="minorBidi"/>
            <w:b w:val="0"/>
            <w:noProof/>
            <w:sz w:val="24"/>
            <w:szCs w:val="24"/>
            <w:lang w:val="en-US" w:eastAsia="en-GB"/>
          </w:rPr>
          <w:tab/>
        </w:r>
        <w:r w:rsidR="00CB13D9" w:rsidRPr="00740517">
          <w:rPr>
            <w:rStyle w:val="Hyperlink"/>
            <w:noProof/>
          </w:rPr>
          <w:t>Decoupling the HOs of an mIAB-DU from the HOs of the co-located mIAB-MT would bring huge benefits to mitigate connectivity interruptions and handover failure.</w:t>
        </w:r>
      </w:hyperlink>
    </w:p>
    <w:p w14:paraId="3B5007E6" w14:textId="77777777" w:rsidR="00CB13D9"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046" w:history="1">
        <w:r w:rsidR="00CB13D9" w:rsidRPr="00740517">
          <w:rPr>
            <w:rStyle w:val="Hyperlink"/>
            <w:rFonts w:cs="Arial"/>
            <w:noProof/>
          </w:rPr>
          <w:t>Observation 5</w:t>
        </w:r>
        <w:r w:rsidR="00CB13D9">
          <w:rPr>
            <w:rFonts w:asciiTheme="minorHAnsi" w:eastAsiaTheme="minorEastAsia" w:hAnsiTheme="minorHAnsi" w:cstheme="minorBidi"/>
            <w:b w:val="0"/>
            <w:noProof/>
            <w:sz w:val="24"/>
            <w:szCs w:val="24"/>
            <w:lang w:val="en-US" w:eastAsia="en-GB"/>
          </w:rPr>
          <w:tab/>
        </w:r>
        <w:r w:rsidR="00CB13D9" w:rsidRPr="00740517">
          <w:rPr>
            <w:rStyle w:val="Hyperlink"/>
            <w:noProof/>
          </w:rPr>
          <w:t>It could be advantageous to offer the hosting of a mobile IAB-DU to a dedicated CU that would always anchor/terminate the F1 connection.</w:t>
        </w:r>
      </w:hyperlink>
    </w:p>
    <w:p w14:paraId="084BCB9D" w14:textId="57CC8CF0" w:rsidR="00CB13D9"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047" w:history="1">
        <w:r w:rsidR="00CB13D9" w:rsidRPr="00740517">
          <w:rPr>
            <w:rStyle w:val="Hyperlink"/>
            <w:noProof/>
          </w:rPr>
          <w:t>Observation 6</w:t>
        </w:r>
        <w:r w:rsidR="00CB13D9">
          <w:rPr>
            <w:rFonts w:asciiTheme="minorHAnsi" w:eastAsiaTheme="minorEastAsia" w:hAnsiTheme="minorHAnsi" w:cstheme="minorBidi"/>
            <w:b w:val="0"/>
            <w:noProof/>
            <w:sz w:val="24"/>
            <w:szCs w:val="24"/>
            <w:lang w:val="en-US" w:eastAsia="en-GB"/>
          </w:rPr>
          <w:tab/>
        </w:r>
        <w:r w:rsidR="00CB13D9" w:rsidRPr="00740517">
          <w:rPr>
            <w:rStyle w:val="Hyperlink"/>
            <w:noProof/>
          </w:rPr>
          <w:t>If there are collision events due to the mobility of the IAB node, one possible solution to solve such collisions would be for the operators to reserve resources (e.g., RACH preamble</w:t>
        </w:r>
        <w:r w:rsidR="009C7640">
          <w:rPr>
            <w:rStyle w:val="Hyperlink"/>
            <w:noProof/>
          </w:rPr>
          <w:t>, root sequence</w:t>
        </w:r>
        <w:r w:rsidR="00CB13D9" w:rsidRPr="00740517">
          <w:rPr>
            <w:rStyle w:val="Hyperlink"/>
            <w:noProof/>
          </w:rPr>
          <w:t xml:space="preserve"> or PCI IDs) just for mobile IAB nodes.</w:t>
        </w:r>
      </w:hyperlink>
    </w:p>
    <w:p w14:paraId="029CA090" w14:textId="1B3B6F35"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lastRenderedPageBreak/>
        <w:t xml:space="preserve">Based on the discussion in </w:t>
      </w:r>
      <w:r w:rsidR="007729A2">
        <w:t xml:space="preserve">the previous </w:t>
      </w:r>
      <w:r w:rsidRPr="00CE0424">
        <w:t>section</w:t>
      </w:r>
      <w:r w:rsidR="007729A2">
        <w:t>s</w:t>
      </w:r>
      <w:r w:rsidRPr="00CE0424">
        <w:t xml:space="preserve"> we propose the following:</w:t>
      </w:r>
    </w:p>
    <w:p w14:paraId="020C884C" w14:textId="77777777" w:rsidR="00A65766" w:rsidRDefault="006E1C82">
      <w:pPr>
        <w:pStyle w:val="TableofFigures"/>
        <w:tabs>
          <w:tab w:val="right" w:leader="dot" w:pos="9629"/>
        </w:tabs>
        <w:rPr>
          <w:rFonts w:asciiTheme="minorHAnsi" w:eastAsiaTheme="minorEastAsia" w:hAnsiTheme="minorHAnsi" w:cstheme="minorBidi"/>
          <w:b w:val="0"/>
          <w:sz w:val="24"/>
          <w:szCs w:val="24"/>
          <w:lang w:val="en-US"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1021153" w:history="1">
        <w:r w:rsidR="00A65766" w:rsidRPr="002E3C1A">
          <w:rPr>
            <w:rStyle w:val="Hyperlink"/>
            <w:noProof/>
          </w:rPr>
          <w:t>Proposal 1</w:t>
        </w:r>
        <w:r w:rsidR="00A65766">
          <w:rPr>
            <w:rFonts w:asciiTheme="minorHAnsi" w:eastAsiaTheme="minorEastAsia" w:hAnsiTheme="minorHAnsi" w:cstheme="minorBidi"/>
            <w:b w:val="0"/>
            <w:noProof/>
            <w:sz w:val="24"/>
            <w:szCs w:val="24"/>
            <w:lang w:val="en-US" w:eastAsia="en-GB"/>
          </w:rPr>
          <w:tab/>
        </w:r>
        <w:r w:rsidR="00A65766" w:rsidRPr="002E3C1A">
          <w:rPr>
            <w:rStyle w:val="Hyperlink"/>
            <w:noProof/>
          </w:rPr>
          <w:t>RAN2 to wait for RAN3 to progress on architecture/migration updates.</w:t>
        </w:r>
      </w:hyperlink>
    </w:p>
    <w:p w14:paraId="35D572A6" w14:textId="77777777" w:rsidR="00A65766"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154" w:history="1">
        <w:r w:rsidR="00A65766" w:rsidRPr="002E3C1A">
          <w:rPr>
            <w:rStyle w:val="Hyperlink"/>
            <w:noProof/>
          </w:rPr>
          <w:t>Proposal 2</w:t>
        </w:r>
        <w:r w:rsidR="00A65766">
          <w:rPr>
            <w:rFonts w:asciiTheme="minorHAnsi" w:eastAsiaTheme="minorEastAsia" w:hAnsiTheme="minorHAnsi" w:cstheme="minorBidi"/>
            <w:b w:val="0"/>
            <w:noProof/>
            <w:sz w:val="24"/>
            <w:szCs w:val="24"/>
            <w:lang w:val="en-US" w:eastAsia="en-GB"/>
          </w:rPr>
          <w:tab/>
        </w:r>
        <w:r w:rsidR="00A65766" w:rsidRPr="002E3C1A">
          <w:rPr>
            <w:rStyle w:val="Hyperlink"/>
            <w:noProof/>
          </w:rPr>
          <w:t>Existing PCI collision avoidance mechanisms shall be considered as baseline for mobile IAB.</w:t>
        </w:r>
      </w:hyperlink>
    </w:p>
    <w:p w14:paraId="589C1622" w14:textId="77777777" w:rsidR="00A65766"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155" w:history="1">
        <w:r w:rsidR="00A65766" w:rsidRPr="002E3C1A">
          <w:rPr>
            <w:rStyle w:val="Hyperlink"/>
            <w:noProof/>
          </w:rPr>
          <w:t>Proposal 3</w:t>
        </w:r>
        <w:r w:rsidR="00A65766">
          <w:rPr>
            <w:rFonts w:asciiTheme="minorHAnsi" w:eastAsiaTheme="minorEastAsia" w:hAnsiTheme="minorHAnsi" w:cstheme="minorBidi"/>
            <w:b w:val="0"/>
            <w:noProof/>
            <w:sz w:val="24"/>
            <w:szCs w:val="24"/>
            <w:lang w:val="en-US" w:eastAsia="en-GB"/>
          </w:rPr>
          <w:tab/>
        </w:r>
        <w:r w:rsidR="00A65766" w:rsidRPr="002E3C1A">
          <w:rPr>
            <w:rStyle w:val="Hyperlink"/>
            <w:noProof/>
          </w:rPr>
          <w:t>Existing RACH collision avoidance mechanism shall be considered as baseline for mobile IAB.</w:t>
        </w:r>
      </w:hyperlink>
    </w:p>
    <w:p w14:paraId="770A004C" w14:textId="77777777" w:rsidR="00A65766" w:rsidRDefault="00D7263D">
      <w:pPr>
        <w:pStyle w:val="TableofFigures"/>
        <w:tabs>
          <w:tab w:val="right" w:leader="dot" w:pos="9629"/>
        </w:tabs>
        <w:rPr>
          <w:rFonts w:asciiTheme="minorHAnsi" w:eastAsiaTheme="minorEastAsia" w:hAnsiTheme="minorHAnsi" w:cstheme="minorBidi"/>
          <w:b w:val="0"/>
          <w:sz w:val="24"/>
          <w:szCs w:val="24"/>
          <w:lang w:val="en-US" w:eastAsia="en-GB"/>
        </w:rPr>
      </w:pPr>
      <w:hyperlink w:anchor="_Toc111021156" w:history="1">
        <w:r w:rsidR="00A65766" w:rsidRPr="002E3C1A">
          <w:rPr>
            <w:rStyle w:val="Hyperlink"/>
            <w:noProof/>
          </w:rPr>
          <w:t>Proposal 4</w:t>
        </w:r>
        <w:r w:rsidR="00A65766">
          <w:rPr>
            <w:rFonts w:asciiTheme="minorHAnsi" w:eastAsiaTheme="minorEastAsia" w:hAnsiTheme="minorHAnsi" w:cstheme="minorBidi"/>
            <w:b w:val="0"/>
            <w:noProof/>
            <w:sz w:val="24"/>
            <w:szCs w:val="24"/>
            <w:lang w:val="en-US" w:eastAsia="en-GB"/>
          </w:rPr>
          <w:tab/>
        </w:r>
        <w:r w:rsidR="00A65766" w:rsidRPr="002E3C1A">
          <w:rPr>
            <w:rStyle w:val="Hyperlink"/>
            <w:noProof/>
          </w:rPr>
          <w:t>RAN2 to send an LS to RAN1 to ask whether potential interference issues are envisioned for the case of a mobile IAB scenario.</w:t>
        </w:r>
      </w:hyperlink>
    </w:p>
    <w:p w14:paraId="64F3E645" w14:textId="55BA5DAB" w:rsidR="00C01F33" w:rsidRPr="00CE0424" w:rsidRDefault="006E1C82" w:rsidP="00A65766">
      <w:pPr>
        <w:pStyle w:val="BodyText"/>
      </w:pPr>
      <w:r>
        <w:rPr>
          <w:b/>
          <w:bCs/>
          <w:lang w:val="en-US"/>
        </w:rPr>
        <w:fldChar w:fldCharType="end"/>
      </w:r>
    </w:p>
    <w:p w14:paraId="7BD5CFC3" w14:textId="6B06166E" w:rsidR="00F507D1" w:rsidRPr="00CE0424" w:rsidRDefault="00F14DA2" w:rsidP="00CE0424">
      <w:pPr>
        <w:pStyle w:val="Heading1"/>
      </w:pPr>
      <w:bookmarkStart w:id="14" w:name="_In-sequence_SDU_delivery"/>
      <w:bookmarkEnd w:id="14"/>
      <w:r>
        <w:t>4</w:t>
      </w:r>
      <w:r>
        <w:tab/>
      </w:r>
      <w:r w:rsidR="00F507D1" w:rsidRPr="00CE0424">
        <w:t>References</w:t>
      </w:r>
    </w:p>
    <w:bookmarkStart w:id="15" w:name="_Ref174151459"/>
    <w:bookmarkStart w:id="16" w:name="_Ref189809556"/>
    <w:p w14:paraId="58040610" w14:textId="1FD1CF5F" w:rsidR="00C02250" w:rsidRPr="00C02250" w:rsidRDefault="00CB13D9" w:rsidP="00B96A6F">
      <w:pPr>
        <w:pStyle w:val="Reference"/>
        <w:rPr>
          <w:bCs/>
        </w:rPr>
      </w:pPr>
      <w:r>
        <w:rPr>
          <w:rFonts w:cs="Arial"/>
          <w:bCs/>
          <w:noProof/>
        </w:rPr>
        <w:fldChar w:fldCharType="begin"/>
      </w:r>
      <w:r>
        <w:rPr>
          <w:rFonts w:cs="Arial"/>
          <w:bCs/>
          <w:noProof/>
        </w:rPr>
        <w:instrText xml:space="preserve"> HYPERLINK "http://www.3gpp.org/ftp//tsg_sa/WG2_Arch/TSGS2_151E_Electronic_2022-05/Docs/</w:instrText>
      </w:r>
      <w:r>
        <w:rPr>
          <w:rFonts w:cs="Arial"/>
          <w:bCs/>
          <w:noProof/>
        </w:rPr>
        <w:cr/>
        <w:instrText xml:space="preserve">S2-2204993.zip" </w:instrText>
      </w:r>
      <w:r>
        <w:rPr>
          <w:rFonts w:cs="Arial"/>
          <w:bCs/>
          <w:noProof/>
        </w:rPr>
        <w:fldChar w:fldCharType="separate"/>
      </w:r>
      <w:r w:rsidR="00C02250" w:rsidRPr="00A65766">
        <w:rPr>
          <w:rStyle w:val="Hyperlink"/>
          <w:rFonts w:cs="Arial"/>
          <w:bCs/>
          <w:noProof/>
        </w:rPr>
        <w:t>S2-2204993</w:t>
      </w:r>
      <w:r>
        <w:rPr>
          <w:rFonts w:cs="Arial"/>
          <w:bCs/>
          <w:noProof/>
        </w:rPr>
        <w:fldChar w:fldCharType="end"/>
      </w:r>
      <w:r w:rsidR="00C02250" w:rsidRPr="00C02250">
        <w:rPr>
          <w:rFonts w:cs="Arial"/>
          <w:bCs/>
          <w:noProof/>
        </w:rPr>
        <w:t xml:space="preserve">, </w:t>
      </w:r>
      <w:r w:rsidR="00C02250">
        <w:rPr>
          <w:rFonts w:cs="Arial"/>
          <w:bCs/>
          <w:noProof/>
        </w:rPr>
        <w:t>“</w:t>
      </w:r>
      <w:r w:rsidR="00C02250" w:rsidRPr="00C02250">
        <w:rPr>
          <w:rFonts w:cs="Arial"/>
          <w:bCs/>
        </w:rPr>
        <w:t>23.700-55: Solution for KI#3; IAB optimization for Mobile Base Station Relays</w:t>
      </w:r>
      <w:r w:rsidR="00C02250">
        <w:rPr>
          <w:rFonts w:cs="Arial"/>
          <w:bCs/>
        </w:rPr>
        <w:t>”</w:t>
      </w:r>
      <w:r w:rsidR="00C02250" w:rsidRPr="00C02250">
        <w:rPr>
          <w:rFonts w:cs="Arial"/>
          <w:bCs/>
        </w:rPr>
        <w:t>, Nokia, May 2022</w:t>
      </w:r>
    </w:p>
    <w:p w14:paraId="5DCC939F" w14:textId="4C6D2872" w:rsidR="003A7EF3" w:rsidRPr="00CE0424" w:rsidRDefault="00D7263D" w:rsidP="00A65766">
      <w:pPr>
        <w:pStyle w:val="Reference"/>
      </w:pPr>
      <w:hyperlink r:id="rId11" w:history="1">
        <w:r w:rsidR="00B96A6F" w:rsidRPr="00A65766">
          <w:rPr>
            <w:rStyle w:val="Hyperlink"/>
          </w:rPr>
          <w:t>RP-221815</w:t>
        </w:r>
      </w:hyperlink>
      <w:r w:rsidR="00B96A6F">
        <w:t>, WID on Mobile IAB for NR, 3GPP TSG RAN#96, Budapest, Hungary, June 2022</w:t>
      </w:r>
      <w:bookmarkEnd w:id="15"/>
      <w:bookmarkEnd w:id="16"/>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F4975" w14:textId="77777777" w:rsidR="00CF1905" w:rsidRDefault="00CF1905">
      <w:r>
        <w:separator/>
      </w:r>
    </w:p>
  </w:endnote>
  <w:endnote w:type="continuationSeparator" w:id="0">
    <w:p w14:paraId="56E981F6" w14:textId="77777777" w:rsidR="00CF1905" w:rsidRDefault="00CF1905">
      <w:r>
        <w:continuationSeparator/>
      </w:r>
    </w:p>
  </w:endnote>
  <w:endnote w:type="continuationNotice" w:id="1">
    <w:p w14:paraId="40FAE33B" w14:textId="77777777" w:rsidR="00CF1905" w:rsidRDefault="00CF19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9122" w14:textId="77777777" w:rsidR="00CF1905" w:rsidRDefault="00CF1905">
      <w:r>
        <w:separator/>
      </w:r>
    </w:p>
  </w:footnote>
  <w:footnote w:type="continuationSeparator" w:id="0">
    <w:p w14:paraId="13095489" w14:textId="77777777" w:rsidR="00CF1905" w:rsidRDefault="00CF1905">
      <w:r>
        <w:continuationSeparator/>
      </w:r>
    </w:p>
  </w:footnote>
  <w:footnote w:type="continuationNotice" w:id="1">
    <w:p w14:paraId="67F97F6D" w14:textId="77777777" w:rsidR="00CF1905" w:rsidRDefault="00CF19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5061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E89C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3178C8"/>
    <w:multiLevelType w:val="hybridMultilevel"/>
    <w:tmpl w:val="C2302A32"/>
    <w:lvl w:ilvl="0" w:tplc="50CE4D9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E47AFB"/>
    <w:multiLevelType w:val="hybridMultilevel"/>
    <w:tmpl w:val="88BC34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B6393"/>
    <w:multiLevelType w:val="hybridMultilevel"/>
    <w:tmpl w:val="918073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040E86"/>
    <w:multiLevelType w:val="hybridMultilevel"/>
    <w:tmpl w:val="5B3C70C6"/>
    <w:lvl w:ilvl="0" w:tplc="B05641A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E5D69BD"/>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58095C"/>
    <w:multiLevelType w:val="hybridMultilevel"/>
    <w:tmpl w:val="8CA4F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8D5A5D10"/>
    <w:lvl w:ilvl="0" w:tplc="A90E2EEC">
      <w:start w:val="1"/>
      <w:numFmt w:val="decimal"/>
      <w:pStyle w:val="Observation"/>
      <w:lvlText w:val="Observation %1"/>
      <w:lvlJc w:val="left"/>
      <w:pPr>
        <w:ind w:left="360" w:hanging="360"/>
      </w:pPr>
      <w:rPr>
        <w:color w:val="auto"/>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8F2325"/>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24277D"/>
    <w:multiLevelType w:val="hybridMultilevel"/>
    <w:tmpl w:val="2664540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6C246379"/>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0244FE"/>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4"/>
  </w:num>
  <w:num w:numId="2">
    <w:abstractNumId w:val="23"/>
  </w:num>
  <w:num w:numId="3">
    <w:abstractNumId w:val="19"/>
  </w:num>
  <w:num w:numId="4">
    <w:abstractNumId w:val="20"/>
  </w:num>
  <w:num w:numId="5">
    <w:abstractNumId w:val="15"/>
  </w:num>
  <w:num w:numId="6">
    <w:abstractNumId w:val="22"/>
  </w:num>
  <w:num w:numId="7">
    <w:abstractNumId w:val="26"/>
  </w:num>
  <w:num w:numId="8">
    <w:abstractNumId w:val="16"/>
  </w:num>
  <w:num w:numId="9">
    <w:abstractNumId w:val="12"/>
  </w:num>
  <w:num w:numId="10">
    <w:abstractNumId w:val="2"/>
  </w:num>
  <w:num w:numId="11">
    <w:abstractNumId w:val="1"/>
  </w:num>
  <w:num w:numId="12">
    <w:abstractNumId w:val="0"/>
  </w:num>
  <w:num w:numId="13">
    <w:abstractNumId w:val="24"/>
  </w:num>
  <w:num w:numId="14">
    <w:abstractNumId w:val="25"/>
  </w:num>
  <w:num w:numId="15">
    <w:abstractNumId w:val="21"/>
  </w:num>
  <w:num w:numId="16">
    <w:abstractNumId w:val="28"/>
  </w:num>
  <w:num w:numId="17">
    <w:abstractNumId w:val="8"/>
  </w:num>
  <w:num w:numId="18">
    <w:abstractNumId w:val="11"/>
  </w:num>
  <w:num w:numId="19">
    <w:abstractNumId w:val="6"/>
  </w:num>
  <w:num w:numId="20">
    <w:abstractNumId w:val="33"/>
  </w:num>
  <w:num w:numId="21">
    <w:abstractNumId w:val="17"/>
  </w:num>
  <w:num w:numId="22">
    <w:abstractNumId w:val="32"/>
  </w:num>
  <w:num w:numId="23">
    <w:abstractNumId w:val="13"/>
  </w:num>
  <w:num w:numId="24">
    <w:abstractNumId w:val="7"/>
  </w:num>
  <w:num w:numId="25">
    <w:abstractNumId w:val="9"/>
  </w:num>
  <w:num w:numId="26">
    <w:abstractNumId w:val="31"/>
  </w:num>
  <w:num w:numId="27">
    <w:abstractNumId w:val="34"/>
  </w:num>
  <w:num w:numId="28">
    <w:abstractNumId w:val="27"/>
  </w:num>
  <w:num w:numId="29">
    <w:abstractNumId w:val="14"/>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9"/>
  </w:num>
  <w:num w:numId="33">
    <w:abstractNumId w:val="18"/>
  </w:num>
  <w:num w:numId="34">
    <w:abstractNumId w:val="5"/>
  </w:num>
  <w:num w:numId="3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0704" w:allStyles="0" w:customStyles="0" w:latentStyles="1" w:stylesInUse="0" w:headingStyles="0" w:numberingStyles="0" w:tableStyles="0" w:directFormattingOnRuns="1" w:directFormattingOnParagraphs="1" w:directFormattingOnNumbering="1" w:directFormattingOnTables="0" w:clearFormatting="0" w:top3HeadingStyles="0" w:visibleStyles="0" w:alternateStyleNames="0"/>
  <w:stylePaneSortMethod w:val="0002"/>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16A88"/>
    <w:rsid w:val="00016D0C"/>
    <w:rsid w:val="00024BB2"/>
    <w:rsid w:val="00024E62"/>
    <w:rsid w:val="0002564D"/>
    <w:rsid w:val="00025ECA"/>
    <w:rsid w:val="000325B8"/>
    <w:rsid w:val="00034C15"/>
    <w:rsid w:val="00036BA1"/>
    <w:rsid w:val="00037383"/>
    <w:rsid w:val="0004101F"/>
    <w:rsid w:val="000422E2"/>
    <w:rsid w:val="00042F22"/>
    <w:rsid w:val="000444EF"/>
    <w:rsid w:val="00052A07"/>
    <w:rsid w:val="000534E3"/>
    <w:rsid w:val="0005606A"/>
    <w:rsid w:val="00057117"/>
    <w:rsid w:val="000616E7"/>
    <w:rsid w:val="0006487E"/>
    <w:rsid w:val="00065E1A"/>
    <w:rsid w:val="00077E5F"/>
    <w:rsid w:val="0008036A"/>
    <w:rsid w:val="00081AE6"/>
    <w:rsid w:val="00082D6C"/>
    <w:rsid w:val="000855EB"/>
    <w:rsid w:val="00085B52"/>
    <w:rsid w:val="000866F2"/>
    <w:rsid w:val="0009009F"/>
    <w:rsid w:val="00091557"/>
    <w:rsid w:val="000924C1"/>
    <w:rsid w:val="000924F0"/>
    <w:rsid w:val="00093474"/>
    <w:rsid w:val="0009510F"/>
    <w:rsid w:val="000A05C6"/>
    <w:rsid w:val="000A1B7B"/>
    <w:rsid w:val="000A56F2"/>
    <w:rsid w:val="000A5AB7"/>
    <w:rsid w:val="000A719B"/>
    <w:rsid w:val="000B2719"/>
    <w:rsid w:val="000B3A8F"/>
    <w:rsid w:val="000B4AB9"/>
    <w:rsid w:val="000B58C3"/>
    <w:rsid w:val="000B61E9"/>
    <w:rsid w:val="000C165A"/>
    <w:rsid w:val="000C2E19"/>
    <w:rsid w:val="000D0D07"/>
    <w:rsid w:val="000D4797"/>
    <w:rsid w:val="000E0527"/>
    <w:rsid w:val="000E0B8A"/>
    <w:rsid w:val="000E1E92"/>
    <w:rsid w:val="000E5C6F"/>
    <w:rsid w:val="000F06D6"/>
    <w:rsid w:val="000F0EB1"/>
    <w:rsid w:val="000F1106"/>
    <w:rsid w:val="000F3B50"/>
    <w:rsid w:val="000F3BE9"/>
    <w:rsid w:val="000F3F6C"/>
    <w:rsid w:val="000F6C65"/>
    <w:rsid w:val="000F6DF3"/>
    <w:rsid w:val="0010055B"/>
    <w:rsid w:val="001005FF"/>
    <w:rsid w:val="001062FB"/>
    <w:rsid w:val="001063E6"/>
    <w:rsid w:val="001115CA"/>
    <w:rsid w:val="00113CF4"/>
    <w:rsid w:val="001153EA"/>
    <w:rsid w:val="00115643"/>
    <w:rsid w:val="00115F10"/>
    <w:rsid w:val="00116765"/>
    <w:rsid w:val="001203C8"/>
    <w:rsid w:val="001219F5"/>
    <w:rsid w:val="00121A20"/>
    <w:rsid w:val="00121FD7"/>
    <w:rsid w:val="0012377F"/>
    <w:rsid w:val="00124314"/>
    <w:rsid w:val="00124EFC"/>
    <w:rsid w:val="00125383"/>
    <w:rsid w:val="00126B4A"/>
    <w:rsid w:val="0013218B"/>
    <w:rsid w:val="00132FD0"/>
    <w:rsid w:val="001344C0"/>
    <w:rsid w:val="001346FA"/>
    <w:rsid w:val="00135252"/>
    <w:rsid w:val="00137AB5"/>
    <w:rsid w:val="00137F0B"/>
    <w:rsid w:val="0014256C"/>
    <w:rsid w:val="001504B1"/>
    <w:rsid w:val="00151E23"/>
    <w:rsid w:val="001526E0"/>
    <w:rsid w:val="001551B5"/>
    <w:rsid w:val="00161ACB"/>
    <w:rsid w:val="001659C1"/>
    <w:rsid w:val="00173A8E"/>
    <w:rsid w:val="0017502C"/>
    <w:rsid w:val="0018143F"/>
    <w:rsid w:val="00181FF8"/>
    <w:rsid w:val="00185541"/>
    <w:rsid w:val="00190AC1"/>
    <w:rsid w:val="00191BB9"/>
    <w:rsid w:val="0019310A"/>
    <w:rsid w:val="0019341A"/>
    <w:rsid w:val="00197DF9"/>
    <w:rsid w:val="001A1987"/>
    <w:rsid w:val="001A2564"/>
    <w:rsid w:val="001A6173"/>
    <w:rsid w:val="001A6CBA"/>
    <w:rsid w:val="001B029D"/>
    <w:rsid w:val="001B0D97"/>
    <w:rsid w:val="001B5A5D"/>
    <w:rsid w:val="001B641A"/>
    <w:rsid w:val="001C0D03"/>
    <w:rsid w:val="001C1CE5"/>
    <w:rsid w:val="001C36A5"/>
    <w:rsid w:val="001C3D2A"/>
    <w:rsid w:val="001D4CFC"/>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6F5"/>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6561"/>
    <w:rsid w:val="00257543"/>
    <w:rsid w:val="002617E7"/>
    <w:rsid w:val="00264228"/>
    <w:rsid w:val="00264334"/>
    <w:rsid w:val="0026473E"/>
    <w:rsid w:val="00266214"/>
    <w:rsid w:val="00267C83"/>
    <w:rsid w:val="0027144F"/>
    <w:rsid w:val="00271813"/>
    <w:rsid w:val="00271F3A"/>
    <w:rsid w:val="00272722"/>
    <w:rsid w:val="00273278"/>
    <w:rsid w:val="002737F4"/>
    <w:rsid w:val="0028022F"/>
    <w:rsid w:val="002805F5"/>
    <w:rsid w:val="00280751"/>
    <w:rsid w:val="0028280A"/>
    <w:rsid w:val="00286ACD"/>
    <w:rsid w:val="00287838"/>
    <w:rsid w:val="0029040B"/>
    <w:rsid w:val="002907B5"/>
    <w:rsid w:val="00292EB7"/>
    <w:rsid w:val="00296227"/>
    <w:rsid w:val="00296F44"/>
    <w:rsid w:val="0029777D"/>
    <w:rsid w:val="002A055E"/>
    <w:rsid w:val="002A1D4E"/>
    <w:rsid w:val="002A2869"/>
    <w:rsid w:val="002B24D6"/>
    <w:rsid w:val="002B3161"/>
    <w:rsid w:val="002B4730"/>
    <w:rsid w:val="002C1FF3"/>
    <w:rsid w:val="002C41E6"/>
    <w:rsid w:val="002D071A"/>
    <w:rsid w:val="002D34B2"/>
    <w:rsid w:val="002D48B0"/>
    <w:rsid w:val="002D5B37"/>
    <w:rsid w:val="002D7637"/>
    <w:rsid w:val="002E17F2"/>
    <w:rsid w:val="002E4AAE"/>
    <w:rsid w:val="002E7CAE"/>
    <w:rsid w:val="002F2771"/>
    <w:rsid w:val="002F37A9"/>
    <w:rsid w:val="002F3FE8"/>
    <w:rsid w:val="002F7802"/>
    <w:rsid w:val="00301CE6"/>
    <w:rsid w:val="0030256B"/>
    <w:rsid w:val="0030501F"/>
    <w:rsid w:val="00307BA1"/>
    <w:rsid w:val="0031105D"/>
    <w:rsid w:val="00311702"/>
    <w:rsid w:val="00311E82"/>
    <w:rsid w:val="0031229B"/>
    <w:rsid w:val="00313FD6"/>
    <w:rsid w:val="003143BD"/>
    <w:rsid w:val="00315363"/>
    <w:rsid w:val="00320021"/>
    <w:rsid w:val="003203ED"/>
    <w:rsid w:val="00322C9F"/>
    <w:rsid w:val="00324D23"/>
    <w:rsid w:val="00331751"/>
    <w:rsid w:val="00333C78"/>
    <w:rsid w:val="00334579"/>
    <w:rsid w:val="00335858"/>
    <w:rsid w:val="00336BDA"/>
    <w:rsid w:val="00342BD7"/>
    <w:rsid w:val="00346DB5"/>
    <w:rsid w:val="003477B1"/>
    <w:rsid w:val="00350DC2"/>
    <w:rsid w:val="00354B16"/>
    <w:rsid w:val="00357380"/>
    <w:rsid w:val="003602D9"/>
    <w:rsid w:val="003604CE"/>
    <w:rsid w:val="00363E02"/>
    <w:rsid w:val="00370E47"/>
    <w:rsid w:val="003742AC"/>
    <w:rsid w:val="00376909"/>
    <w:rsid w:val="00377AC6"/>
    <w:rsid w:val="00377CE1"/>
    <w:rsid w:val="00385BF0"/>
    <w:rsid w:val="003939FF"/>
    <w:rsid w:val="003A2223"/>
    <w:rsid w:val="003A2A0F"/>
    <w:rsid w:val="003A45A1"/>
    <w:rsid w:val="003A5B0A"/>
    <w:rsid w:val="003A6BAC"/>
    <w:rsid w:val="003A70A4"/>
    <w:rsid w:val="003A7972"/>
    <w:rsid w:val="003A7EF3"/>
    <w:rsid w:val="003B159C"/>
    <w:rsid w:val="003B369F"/>
    <w:rsid w:val="003B36A3"/>
    <w:rsid w:val="003B64BB"/>
    <w:rsid w:val="003B7FE5"/>
    <w:rsid w:val="003C107A"/>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641"/>
    <w:rsid w:val="00410B72"/>
    <w:rsid w:val="00410F18"/>
    <w:rsid w:val="0041263E"/>
    <w:rsid w:val="00413AAC"/>
    <w:rsid w:val="00413E92"/>
    <w:rsid w:val="00415B62"/>
    <w:rsid w:val="00421105"/>
    <w:rsid w:val="004223C4"/>
    <w:rsid w:val="00422AA4"/>
    <w:rsid w:val="00423EF6"/>
    <w:rsid w:val="004242F4"/>
    <w:rsid w:val="00427248"/>
    <w:rsid w:val="004367BC"/>
    <w:rsid w:val="00437447"/>
    <w:rsid w:val="004419FB"/>
    <w:rsid w:val="00441A92"/>
    <w:rsid w:val="004423A4"/>
    <w:rsid w:val="004431DC"/>
    <w:rsid w:val="00444F56"/>
    <w:rsid w:val="00446488"/>
    <w:rsid w:val="004517AA"/>
    <w:rsid w:val="00452CAC"/>
    <w:rsid w:val="00457565"/>
    <w:rsid w:val="00457B71"/>
    <w:rsid w:val="004669E2"/>
    <w:rsid w:val="00467692"/>
    <w:rsid w:val="00470C31"/>
    <w:rsid w:val="00471DE0"/>
    <w:rsid w:val="004734D0"/>
    <w:rsid w:val="0047556B"/>
    <w:rsid w:val="00477768"/>
    <w:rsid w:val="00485170"/>
    <w:rsid w:val="00492BC5"/>
    <w:rsid w:val="004964F1"/>
    <w:rsid w:val="004A16BC"/>
    <w:rsid w:val="004A2B94"/>
    <w:rsid w:val="004A3BC9"/>
    <w:rsid w:val="004B01C5"/>
    <w:rsid w:val="004B6F6A"/>
    <w:rsid w:val="004B7C0C"/>
    <w:rsid w:val="004C3898"/>
    <w:rsid w:val="004D36B1"/>
    <w:rsid w:val="004D7EBD"/>
    <w:rsid w:val="004E2680"/>
    <w:rsid w:val="004E28F9"/>
    <w:rsid w:val="004E462E"/>
    <w:rsid w:val="004E56DC"/>
    <w:rsid w:val="004E6446"/>
    <w:rsid w:val="004E76F4"/>
    <w:rsid w:val="004F0B4E"/>
    <w:rsid w:val="004F0B6C"/>
    <w:rsid w:val="004F2078"/>
    <w:rsid w:val="004F4DA3"/>
    <w:rsid w:val="0050487A"/>
    <w:rsid w:val="00506557"/>
    <w:rsid w:val="0050677A"/>
    <w:rsid w:val="005108D8"/>
    <w:rsid w:val="005116F9"/>
    <w:rsid w:val="00513D22"/>
    <w:rsid w:val="005153A7"/>
    <w:rsid w:val="005219CF"/>
    <w:rsid w:val="005227C2"/>
    <w:rsid w:val="0052649C"/>
    <w:rsid w:val="00534B59"/>
    <w:rsid w:val="005353BF"/>
    <w:rsid w:val="00536759"/>
    <w:rsid w:val="00537C62"/>
    <w:rsid w:val="005404D2"/>
    <w:rsid w:val="005405B1"/>
    <w:rsid w:val="00546970"/>
    <w:rsid w:val="0055322D"/>
    <w:rsid w:val="00554E19"/>
    <w:rsid w:val="0056121F"/>
    <w:rsid w:val="00562546"/>
    <w:rsid w:val="00567EDC"/>
    <w:rsid w:val="00572505"/>
    <w:rsid w:val="00582809"/>
    <w:rsid w:val="00583092"/>
    <w:rsid w:val="00585B5B"/>
    <w:rsid w:val="0058798C"/>
    <w:rsid w:val="005900FA"/>
    <w:rsid w:val="005935A4"/>
    <w:rsid w:val="005948C2"/>
    <w:rsid w:val="00595DCA"/>
    <w:rsid w:val="0059779B"/>
    <w:rsid w:val="005A209A"/>
    <w:rsid w:val="005A5328"/>
    <w:rsid w:val="005A662D"/>
    <w:rsid w:val="005A7B75"/>
    <w:rsid w:val="005A7FCA"/>
    <w:rsid w:val="005B1409"/>
    <w:rsid w:val="005B35D7"/>
    <w:rsid w:val="005B392A"/>
    <w:rsid w:val="005B3AA3"/>
    <w:rsid w:val="005B4E2C"/>
    <w:rsid w:val="005B6F83"/>
    <w:rsid w:val="005C4428"/>
    <w:rsid w:val="005C74FB"/>
    <w:rsid w:val="005D1602"/>
    <w:rsid w:val="005D259C"/>
    <w:rsid w:val="005D5EDA"/>
    <w:rsid w:val="005E385F"/>
    <w:rsid w:val="005E5B81"/>
    <w:rsid w:val="005F2CB1"/>
    <w:rsid w:val="005F3025"/>
    <w:rsid w:val="005F618C"/>
    <w:rsid w:val="005F70BD"/>
    <w:rsid w:val="0060201D"/>
    <w:rsid w:val="0060283C"/>
    <w:rsid w:val="00604F14"/>
    <w:rsid w:val="006116D1"/>
    <w:rsid w:val="00611B83"/>
    <w:rsid w:val="00613257"/>
    <w:rsid w:val="00613326"/>
    <w:rsid w:val="00620A71"/>
    <w:rsid w:val="00620D80"/>
    <w:rsid w:val="006234A6"/>
    <w:rsid w:val="006238AD"/>
    <w:rsid w:val="00630001"/>
    <w:rsid w:val="006311B3"/>
    <w:rsid w:val="00631629"/>
    <w:rsid w:val="00632187"/>
    <w:rsid w:val="0063284C"/>
    <w:rsid w:val="00636398"/>
    <w:rsid w:val="006368D3"/>
    <w:rsid w:val="006377EC"/>
    <w:rsid w:val="00637D9E"/>
    <w:rsid w:val="0064151F"/>
    <w:rsid w:val="00641533"/>
    <w:rsid w:val="0064208D"/>
    <w:rsid w:val="00643475"/>
    <w:rsid w:val="0064396A"/>
    <w:rsid w:val="0064624E"/>
    <w:rsid w:val="00650AB9"/>
    <w:rsid w:val="006551B8"/>
    <w:rsid w:val="00655733"/>
    <w:rsid w:val="00655ACD"/>
    <w:rsid w:val="0065690C"/>
    <w:rsid w:val="00656A92"/>
    <w:rsid w:val="00656DDE"/>
    <w:rsid w:val="0066011D"/>
    <w:rsid w:val="006607C0"/>
    <w:rsid w:val="00660F7B"/>
    <w:rsid w:val="006613A6"/>
    <w:rsid w:val="006627A2"/>
    <w:rsid w:val="006634E6"/>
    <w:rsid w:val="006655EE"/>
    <w:rsid w:val="00667EE7"/>
    <w:rsid w:val="006703B5"/>
    <w:rsid w:val="00670922"/>
    <w:rsid w:val="00670BE1"/>
    <w:rsid w:val="00670F91"/>
    <w:rsid w:val="00671FAA"/>
    <w:rsid w:val="0067218F"/>
    <w:rsid w:val="006741F2"/>
    <w:rsid w:val="00674CC3"/>
    <w:rsid w:val="00674DC9"/>
    <w:rsid w:val="00675C72"/>
    <w:rsid w:val="006771F9"/>
    <w:rsid w:val="006776D7"/>
    <w:rsid w:val="00681003"/>
    <w:rsid w:val="006817C9"/>
    <w:rsid w:val="00683ECE"/>
    <w:rsid w:val="00695FC2"/>
    <w:rsid w:val="00696949"/>
    <w:rsid w:val="00697052"/>
    <w:rsid w:val="006A46FB"/>
    <w:rsid w:val="006A5E28"/>
    <w:rsid w:val="006A697B"/>
    <w:rsid w:val="006A6BB1"/>
    <w:rsid w:val="006A7232"/>
    <w:rsid w:val="006A7AFF"/>
    <w:rsid w:val="006A7D20"/>
    <w:rsid w:val="006B1816"/>
    <w:rsid w:val="006B2099"/>
    <w:rsid w:val="006B50CF"/>
    <w:rsid w:val="006C03B8"/>
    <w:rsid w:val="006C5EC9"/>
    <w:rsid w:val="006C6059"/>
    <w:rsid w:val="006C7522"/>
    <w:rsid w:val="006D5135"/>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F7B"/>
    <w:rsid w:val="00707072"/>
    <w:rsid w:val="00707D61"/>
    <w:rsid w:val="00710039"/>
    <w:rsid w:val="00712287"/>
    <w:rsid w:val="00712772"/>
    <w:rsid w:val="007148D3"/>
    <w:rsid w:val="00715B9A"/>
    <w:rsid w:val="007257D0"/>
    <w:rsid w:val="00726EA6"/>
    <w:rsid w:val="00727208"/>
    <w:rsid w:val="00727680"/>
    <w:rsid w:val="00734842"/>
    <w:rsid w:val="007348B1"/>
    <w:rsid w:val="007362A6"/>
    <w:rsid w:val="00736D7D"/>
    <w:rsid w:val="00740E58"/>
    <w:rsid w:val="007445A0"/>
    <w:rsid w:val="0074524B"/>
    <w:rsid w:val="007473CF"/>
    <w:rsid w:val="00747D8B"/>
    <w:rsid w:val="00751228"/>
    <w:rsid w:val="007571E1"/>
    <w:rsid w:val="00757A16"/>
    <w:rsid w:val="007604B2"/>
    <w:rsid w:val="00762D16"/>
    <w:rsid w:val="00763F7F"/>
    <w:rsid w:val="00765281"/>
    <w:rsid w:val="00766BAD"/>
    <w:rsid w:val="007729A2"/>
    <w:rsid w:val="007755F2"/>
    <w:rsid w:val="00776971"/>
    <w:rsid w:val="00780A80"/>
    <w:rsid w:val="0078177E"/>
    <w:rsid w:val="0078304C"/>
    <w:rsid w:val="00783673"/>
    <w:rsid w:val="00785490"/>
    <w:rsid w:val="007925EA"/>
    <w:rsid w:val="00792912"/>
    <w:rsid w:val="00792DC6"/>
    <w:rsid w:val="00793CD8"/>
    <w:rsid w:val="00795C92"/>
    <w:rsid w:val="00796231"/>
    <w:rsid w:val="007974E0"/>
    <w:rsid w:val="007A1CB3"/>
    <w:rsid w:val="007A306F"/>
    <w:rsid w:val="007A43A6"/>
    <w:rsid w:val="007A58A6"/>
    <w:rsid w:val="007B16A6"/>
    <w:rsid w:val="007B3D2D"/>
    <w:rsid w:val="007B50AE"/>
    <w:rsid w:val="007B51DF"/>
    <w:rsid w:val="007B7D82"/>
    <w:rsid w:val="007C05DD"/>
    <w:rsid w:val="007C0E66"/>
    <w:rsid w:val="007C3D18"/>
    <w:rsid w:val="007C60BF"/>
    <w:rsid w:val="007C6A07"/>
    <w:rsid w:val="007C75A1"/>
    <w:rsid w:val="007C77A5"/>
    <w:rsid w:val="007D04E5"/>
    <w:rsid w:val="007D5901"/>
    <w:rsid w:val="007D6CBC"/>
    <w:rsid w:val="007D7526"/>
    <w:rsid w:val="007E4610"/>
    <w:rsid w:val="007E4715"/>
    <w:rsid w:val="007E505B"/>
    <w:rsid w:val="007E7091"/>
    <w:rsid w:val="007F3814"/>
    <w:rsid w:val="00803FAE"/>
    <w:rsid w:val="0080605F"/>
    <w:rsid w:val="00807786"/>
    <w:rsid w:val="00811FCB"/>
    <w:rsid w:val="008123CB"/>
    <w:rsid w:val="008139A1"/>
    <w:rsid w:val="00814EC4"/>
    <w:rsid w:val="008158D6"/>
    <w:rsid w:val="00817196"/>
    <w:rsid w:val="0081740C"/>
    <w:rsid w:val="008235DB"/>
    <w:rsid w:val="0082499B"/>
    <w:rsid w:val="00824AB4"/>
    <w:rsid w:val="00824DBB"/>
    <w:rsid w:val="00825C42"/>
    <w:rsid w:val="00825D25"/>
    <w:rsid w:val="00827D6F"/>
    <w:rsid w:val="008376AC"/>
    <w:rsid w:val="008444E8"/>
    <w:rsid w:val="00844E80"/>
    <w:rsid w:val="00846FE7"/>
    <w:rsid w:val="00847215"/>
    <w:rsid w:val="00855576"/>
    <w:rsid w:val="00856911"/>
    <w:rsid w:val="00862BEC"/>
    <w:rsid w:val="00864526"/>
    <w:rsid w:val="008677FD"/>
    <w:rsid w:val="008706D4"/>
    <w:rsid w:val="00870F8A"/>
    <w:rsid w:val="00871088"/>
    <w:rsid w:val="008719A4"/>
    <w:rsid w:val="00871D23"/>
    <w:rsid w:val="00874312"/>
    <w:rsid w:val="0087437C"/>
    <w:rsid w:val="00875375"/>
    <w:rsid w:val="00875CD7"/>
    <w:rsid w:val="00876B4D"/>
    <w:rsid w:val="00877F18"/>
    <w:rsid w:val="008907BE"/>
    <w:rsid w:val="00891381"/>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1D70"/>
    <w:rsid w:val="008D2888"/>
    <w:rsid w:val="008D34F1"/>
    <w:rsid w:val="008D39D8"/>
    <w:rsid w:val="008D6D1A"/>
    <w:rsid w:val="008E065E"/>
    <w:rsid w:val="008E0927"/>
    <w:rsid w:val="008E1909"/>
    <w:rsid w:val="008E5C6A"/>
    <w:rsid w:val="008F1EAB"/>
    <w:rsid w:val="008F33DC"/>
    <w:rsid w:val="008F477F"/>
    <w:rsid w:val="008F671E"/>
    <w:rsid w:val="008F7024"/>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37B32"/>
    <w:rsid w:val="00941636"/>
    <w:rsid w:val="00943742"/>
    <w:rsid w:val="00945C05"/>
    <w:rsid w:val="00946945"/>
    <w:rsid w:val="00947713"/>
    <w:rsid w:val="00950DE7"/>
    <w:rsid w:val="00951BB3"/>
    <w:rsid w:val="00953920"/>
    <w:rsid w:val="00953D47"/>
    <w:rsid w:val="0095681E"/>
    <w:rsid w:val="009572D4"/>
    <w:rsid w:val="00961921"/>
    <w:rsid w:val="00962BDA"/>
    <w:rsid w:val="0096430A"/>
    <w:rsid w:val="0096554B"/>
    <w:rsid w:val="009656CA"/>
    <w:rsid w:val="0096584A"/>
    <w:rsid w:val="00967BBA"/>
    <w:rsid w:val="0097014A"/>
    <w:rsid w:val="00971F08"/>
    <w:rsid w:val="0097603D"/>
    <w:rsid w:val="00976949"/>
    <w:rsid w:val="00980477"/>
    <w:rsid w:val="00980E79"/>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C7640"/>
    <w:rsid w:val="009D4FF0"/>
    <w:rsid w:val="009D703C"/>
    <w:rsid w:val="009D718F"/>
    <w:rsid w:val="009E068F"/>
    <w:rsid w:val="009E14E0"/>
    <w:rsid w:val="009E35DB"/>
    <w:rsid w:val="009E47A3"/>
    <w:rsid w:val="009E52C7"/>
    <w:rsid w:val="009E77C2"/>
    <w:rsid w:val="009F08F3"/>
    <w:rsid w:val="009F344F"/>
    <w:rsid w:val="00A031D8"/>
    <w:rsid w:val="00A048A8"/>
    <w:rsid w:val="00A04F49"/>
    <w:rsid w:val="00A13E54"/>
    <w:rsid w:val="00A17104"/>
    <w:rsid w:val="00A17F63"/>
    <w:rsid w:val="00A2193B"/>
    <w:rsid w:val="00A224D3"/>
    <w:rsid w:val="00A2351A"/>
    <w:rsid w:val="00A24709"/>
    <w:rsid w:val="00A264A9"/>
    <w:rsid w:val="00A26DCF"/>
    <w:rsid w:val="00A27785"/>
    <w:rsid w:val="00A27F70"/>
    <w:rsid w:val="00A30187"/>
    <w:rsid w:val="00A317F4"/>
    <w:rsid w:val="00A3448A"/>
    <w:rsid w:val="00A36297"/>
    <w:rsid w:val="00A41E2B"/>
    <w:rsid w:val="00A45B74"/>
    <w:rsid w:val="00A52E1D"/>
    <w:rsid w:val="00A54EC1"/>
    <w:rsid w:val="00A575B2"/>
    <w:rsid w:val="00A5768B"/>
    <w:rsid w:val="00A61499"/>
    <w:rsid w:val="00A61948"/>
    <w:rsid w:val="00A62A77"/>
    <w:rsid w:val="00A63483"/>
    <w:rsid w:val="00A65766"/>
    <w:rsid w:val="00A657D7"/>
    <w:rsid w:val="00A660AC"/>
    <w:rsid w:val="00A67E6C"/>
    <w:rsid w:val="00A71B99"/>
    <w:rsid w:val="00A739D0"/>
    <w:rsid w:val="00A761D4"/>
    <w:rsid w:val="00A77EC4"/>
    <w:rsid w:val="00A92879"/>
    <w:rsid w:val="00A9442A"/>
    <w:rsid w:val="00AA016F"/>
    <w:rsid w:val="00AA1E01"/>
    <w:rsid w:val="00AA1ED6"/>
    <w:rsid w:val="00AA2CA5"/>
    <w:rsid w:val="00AA3C9B"/>
    <w:rsid w:val="00AA51D6"/>
    <w:rsid w:val="00AB0BC8"/>
    <w:rsid w:val="00AB11CA"/>
    <w:rsid w:val="00AB14D9"/>
    <w:rsid w:val="00AB4AB8"/>
    <w:rsid w:val="00AB5B7E"/>
    <w:rsid w:val="00AB655E"/>
    <w:rsid w:val="00AC007F"/>
    <w:rsid w:val="00AC2ECD"/>
    <w:rsid w:val="00AC3119"/>
    <w:rsid w:val="00AC49FB"/>
    <w:rsid w:val="00AC5A10"/>
    <w:rsid w:val="00AC7FD6"/>
    <w:rsid w:val="00AD0AA3"/>
    <w:rsid w:val="00AD3F94"/>
    <w:rsid w:val="00AD4A5A"/>
    <w:rsid w:val="00AD4D16"/>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C68"/>
    <w:rsid w:val="00B372AA"/>
    <w:rsid w:val="00B40445"/>
    <w:rsid w:val="00B409E0"/>
    <w:rsid w:val="00B41888"/>
    <w:rsid w:val="00B43FF9"/>
    <w:rsid w:val="00B45A52"/>
    <w:rsid w:val="00B46175"/>
    <w:rsid w:val="00B5250C"/>
    <w:rsid w:val="00B548B7"/>
    <w:rsid w:val="00B5568A"/>
    <w:rsid w:val="00B57074"/>
    <w:rsid w:val="00B61CFF"/>
    <w:rsid w:val="00B627E9"/>
    <w:rsid w:val="00B664C7"/>
    <w:rsid w:val="00B739F6"/>
    <w:rsid w:val="00B77537"/>
    <w:rsid w:val="00B81A6C"/>
    <w:rsid w:val="00B85DE5"/>
    <w:rsid w:val="00B8630C"/>
    <w:rsid w:val="00B87E90"/>
    <w:rsid w:val="00B90A96"/>
    <w:rsid w:val="00B90F73"/>
    <w:rsid w:val="00B93B59"/>
    <w:rsid w:val="00B9406A"/>
    <w:rsid w:val="00B96A6F"/>
    <w:rsid w:val="00BA2280"/>
    <w:rsid w:val="00BA2A08"/>
    <w:rsid w:val="00BA463D"/>
    <w:rsid w:val="00BA56D2"/>
    <w:rsid w:val="00BA76E0"/>
    <w:rsid w:val="00BB2A25"/>
    <w:rsid w:val="00BB51E9"/>
    <w:rsid w:val="00BC0FDC"/>
    <w:rsid w:val="00BC3053"/>
    <w:rsid w:val="00BC4D2E"/>
    <w:rsid w:val="00BC5546"/>
    <w:rsid w:val="00BC5DD6"/>
    <w:rsid w:val="00BD48AC"/>
    <w:rsid w:val="00BD5F1A"/>
    <w:rsid w:val="00BE1234"/>
    <w:rsid w:val="00BE2FA6"/>
    <w:rsid w:val="00BE333F"/>
    <w:rsid w:val="00BE3502"/>
    <w:rsid w:val="00BE624D"/>
    <w:rsid w:val="00BE7406"/>
    <w:rsid w:val="00BE7603"/>
    <w:rsid w:val="00BF2C82"/>
    <w:rsid w:val="00BF3279"/>
    <w:rsid w:val="00BF74C7"/>
    <w:rsid w:val="00C015F1"/>
    <w:rsid w:val="00C01F33"/>
    <w:rsid w:val="00C02250"/>
    <w:rsid w:val="00C02CC6"/>
    <w:rsid w:val="00C040F7"/>
    <w:rsid w:val="00C044AB"/>
    <w:rsid w:val="00C05706"/>
    <w:rsid w:val="00C07377"/>
    <w:rsid w:val="00C10478"/>
    <w:rsid w:val="00C12107"/>
    <w:rsid w:val="00C14D4B"/>
    <w:rsid w:val="00C154BB"/>
    <w:rsid w:val="00C268E6"/>
    <w:rsid w:val="00C279B5"/>
    <w:rsid w:val="00C27C45"/>
    <w:rsid w:val="00C3294B"/>
    <w:rsid w:val="00C3719D"/>
    <w:rsid w:val="00C37CB2"/>
    <w:rsid w:val="00C473A5"/>
    <w:rsid w:val="00C51EE3"/>
    <w:rsid w:val="00C54995"/>
    <w:rsid w:val="00C54D41"/>
    <w:rsid w:val="00C60783"/>
    <w:rsid w:val="00C60DFF"/>
    <w:rsid w:val="00C64672"/>
    <w:rsid w:val="00C65417"/>
    <w:rsid w:val="00C70697"/>
    <w:rsid w:val="00C72093"/>
    <w:rsid w:val="00C72EF4"/>
    <w:rsid w:val="00C744FE"/>
    <w:rsid w:val="00C75D2F"/>
    <w:rsid w:val="00C767BE"/>
    <w:rsid w:val="00C76E3C"/>
    <w:rsid w:val="00C81568"/>
    <w:rsid w:val="00C9027A"/>
    <w:rsid w:val="00C9068E"/>
    <w:rsid w:val="00C91246"/>
    <w:rsid w:val="00C93814"/>
    <w:rsid w:val="00C93C4B"/>
    <w:rsid w:val="00C944AB"/>
    <w:rsid w:val="00C95B40"/>
    <w:rsid w:val="00CA1ED8"/>
    <w:rsid w:val="00CA5524"/>
    <w:rsid w:val="00CB13D9"/>
    <w:rsid w:val="00CB1F63"/>
    <w:rsid w:val="00CB379A"/>
    <w:rsid w:val="00CB5B71"/>
    <w:rsid w:val="00CB7170"/>
    <w:rsid w:val="00CC040E"/>
    <w:rsid w:val="00CC111F"/>
    <w:rsid w:val="00CC2011"/>
    <w:rsid w:val="00CC3E0F"/>
    <w:rsid w:val="00CC3EA0"/>
    <w:rsid w:val="00CC7B45"/>
    <w:rsid w:val="00CD1188"/>
    <w:rsid w:val="00CD2ED1"/>
    <w:rsid w:val="00CD337B"/>
    <w:rsid w:val="00CE0424"/>
    <w:rsid w:val="00CE51EF"/>
    <w:rsid w:val="00CE7561"/>
    <w:rsid w:val="00CF1354"/>
    <w:rsid w:val="00CF1905"/>
    <w:rsid w:val="00CF2276"/>
    <w:rsid w:val="00CF3B1F"/>
    <w:rsid w:val="00CF3BF6"/>
    <w:rsid w:val="00CF48F2"/>
    <w:rsid w:val="00CF55E9"/>
    <w:rsid w:val="00CF6035"/>
    <w:rsid w:val="00CF623D"/>
    <w:rsid w:val="00CF625B"/>
    <w:rsid w:val="00CF687E"/>
    <w:rsid w:val="00D0349B"/>
    <w:rsid w:val="00D10249"/>
    <w:rsid w:val="00D115C3"/>
    <w:rsid w:val="00D11897"/>
    <w:rsid w:val="00D12C9F"/>
    <w:rsid w:val="00D13135"/>
    <w:rsid w:val="00D13E4E"/>
    <w:rsid w:val="00D2398C"/>
    <w:rsid w:val="00D239A7"/>
    <w:rsid w:val="00D23F47"/>
    <w:rsid w:val="00D2663E"/>
    <w:rsid w:val="00D36E71"/>
    <w:rsid w:val="00D37D87"/>
    <w:rsid w:val="00D40B33"/>
    <w:rsid w:val="00D427CC"/>
    <w:rsid w:val="00D4318F"/>
    <w:rsid w:val="00D438BF"/>
    <w:rsid w:val="00D440F8"/>
    <w:rsid w:val="00D50115"/>
    <w:rsid w:val="00D52519"/>
    <w:rsid w:val="00D54266"/>
    <w:rsid w:val="00D546FF"/>
    <w:rsid w:val="00D55AD5"/>
    <w:rsid w:val="00D576CA"/>
    <w:rsid w:val="00D61AF5"/>
    <w:rsid w:val="00D652B5"/>
    <w:rsid w:val="00D66155"/>
    <w:rsid w:val="00D708B0"/>
    <w:rsid w:val="00D7263D"/>
    <w:rsid w:val="00D77777"/>
    <w:rsid w:val="00D77B1D"/>
    <w:rsid w:val="00D8021F"/>
    <w:rsid w:val="00D80383"/>
    <w:rsid w:val="00D823C6"/>
    <w:rsid w:val="00D8327F"/>
    <w:rsid w:val="00D86CA3"/>
    <w:rsid w:val="00D871CE"/>
    <w:rsid w:val="00D9101A"/>
    <w:rsid w:val="00D9196D"/>
    <w:rsid w:val="00D92982"/>
    <w:rsid w:val="00DA0D70"/>
    <w:rsid w:val="00DA22BD"/>
    <w:rsid w:val="00DA305E"/>
    <w:rsid w:val="00DA5417"/>
    <w:rsid w:val="00DA56E8"/>
    <w:rsid w:val="00DB0A9F"/>
    <w:rsid w:val="00DB377D"/>
    <w:rsid w:val="00DB5786"/>
    <w:rsid w:val="00DC2D36"/>
    <w:rsid w:val="00DC3282"/>
    <w:rsid w:val="00DC53EF"/>
    <w:rsid w:val="00DD1AE9"/>
    <w:rsid w:val="00DE5608"/>
    <w:rsid w:val="00DE58D0"/>
    <w:rsid w:val="00DE654F"/>
    <w:rsid w:val="00DF0B6E"/>
    <w:rsid w:val="00DF0CE9"/>
    <w:rsid w:val="00DF15E0"/>
    <w:rsid w:val="00DF37A0"/>
    <w:rsid w:val="00DF66E1"/>
    <w:rsid w:val="00E110E7"/>
    <w:rsid w:val="00E1152B"/>
    <w:rsid w:val="00E11B20"/>
    <w:rsid w:val="00E156EB"/>
    <w:rsid w:val="00E17FA2"/>
    <w:rsid w:val="00E22330"/>
    <w:rsid w:val="00E30B5A"/>
    <w:rsid w:val="00E3123D"/>
    <w:rsid w:val="00E31461"/>
    <w:rsid w:val="00E31D43"/>
    <w:rsid w:val="00E32608"/>
    <w:rsid w:val="00E32DE9"/>
    <w:rsid w:val="00E34188"/>
    <w:rsid w:val="00E34B6E"/>
    <w:rsid w:val="00E35559"/>
    <w:rsid w:val="00E3723A"/>
    <w:rsid w:val="00E37860"/>
    <w:rsid w:val="00E446F1"/>
    <w:rsid w:val="00E46886"/>
    <w:rsid w:val="00E47AEF"/>
    <w:rsid w:val="00E53B75"/>
    <w:rsid w:val="00E54E3B"/>
    <w:rsid w:val="00E5688D"/>
    <w:rsid w:val="00E57565"/>
    <w:rsid w:val="00E63838"/>
    <w:rsid w:val="00E64434"/>
    <w:rsid w:val="00E672F2"/>
    <w:rsid w:val="00E673D0"/>
    <w:rsid w:val="00E67C51"/>
    <w:rsid w:val="00E72EFC"/>
    <w:rsid w:val="00E73C71"/>
    <w:rsid w:val="00E74219"/>
    <w:rsid w:val="00E75120"/>
    <w:rsid w:val="00E758EC"/>
    <w:rsid w:val="00E8234C"/>
    <w:rsid w:val="00E83AA9"/>
    <w:rsid w:val="00E85928"/>
    <w:rsid w:val="00E8665C"/>
    <w:rsid w:val="00E87822"/>
    <w:rsid w:val="00E90395"/>
    <w:rsid w:val="00E90E49"/>
    <w:rsid w:val="00E917F9"/>
    <w:rsid w:val="00E9291C"/>
    <w:rsid w:val="00E93FFE"/>
    <w:rsid w:val="00E94F8A"/>
    <w:rsid w:val="00EA7A41"/>
    <w:rsid w:val="00EB077B"/>
    <w:rsid w:val="00EB4EA2"/>
    <w:rsid w:val="00EB76AC"/>
    <w:rsid w:val="00EC24D5"/>
    <w:rsid w:val="00EC27C6"/>
    <w:rsid w:val="00EC386F"/>
    <w:rsid w:val="00EC4207"/>
    <w:rsid w:val="00EC5653"/>
    <w:rsid w:val="00EC71CE"/>
    <w:rsid w:val="00ED1006"/>
    <w:rsid w:val="00ED1EFB"/>
    <w:rsid w:val="00ED2349"/>
    <w:rsid w:val="00EE424A"/>
    <w:rsid w:val="00EF1618"/>
    <w:rsid w:val="00EF18FE"/>
    <w:rsid w:val="00EF5787"/>
    <w:rsid w:val="00EF60D0"/>
    <w:rsid w:val="00F0091E"/>
    <w:rsid w:val="00F028B3"/>
    <w:rsid w:val="00F02E11"/>
    <w:rsid w:val="00F03C1C"/>
    <w:rsid w:val="00F0528D"/>
    <w:rsid w:val="00F06C67"/>
    <w:rsid w:val="00F06DFD"/>
    <w:rsid w:val="00F071D1"/>
    <w:rsid w:val="00F07533"/>
    <w:rsid w:val="00F10629"/>
    <w:rsid w:val="00F13EB5"/>
    <w:rsid w:val="00F14DA2"/>
    <w:rsid w:val="00F15FA5"/>
    <w:rsid w:val="00F209B7"/>
    <w:rsid w:val="00F20F5C"/>
    <w:rsid w:val="00F2376F"/>
    <w:rsid w:val="00F243D8"/>
    <w:rsid w:val="00F30828"/>
    <w:rsid w:val="00F313D6"/>
    <w:rsid w:val="00F40F0C"/>
    <w:rsid w:val="00F47005"/>
    <w:rsid w:val="00F4766C"/>
    <w:rsid w:val="00F47D13"/>
    <w:rsid w:val="00F5060E"/>
    <w:rsid w:val="00F507D1"/>
    <w:rsid w:val="00F50E5E"/>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096"/>
    <w:rsid w:val="00F92782"/>
    <w:rsid w:val="00F93AA9"/>
    <w:rsid w:val="00F96985"/>
    <w:rsid w:val="00F97838"/>
    <w:rsid w:val="00FA2BB3"/>
    <w:rsid w:val="00FB4C80"/>
    <w:rsid w:val="00FB6A6A"/>
    <w:rsid w:val="00FC7429"/>
    <w:rsid w:val="00FD07F6"/>
    <w:rsid w:val="00FD1EC8"/>
    <w:rsid w:val="00FD47ED"/>
    <w:rsid w:val="00FD5A51"/>
    <w:rsid w:val="00FD74DB"/>
    <w:rsid w:val="00FD7660"/>
    <w:rsid w:val="00FE0655"/>
    <w:rsid w:val="00FE2365"/>
    <w:rsid w:val="00FE37D7"/>
    <w:rsid w:val="00FE4C7B"/>
    <w:rsid w:val="00FE7336"/>
    <w:rsid w:val="00FE787C"/>
    <w:rsid w:val="00FF0141"/>
    <w:rsid w:val="00FF45A5"/>
    <w:rsid w:val="00FF4948"/>
    <w:rsid w:val="00FF5247"/>
    <w:rsid w:val="00FF5BF2"/>
    <w:rsid w:val="00FF5C91"/>
    <w:rsid w:val="5217EF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5470B116-E3F9-4F2F-9950-B6F6FAF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24A"/>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Comments">
    <w:name w:val="Comments"/>
    <w:basedOn w:val="Normal"/>
    <w:link w:val="CommentsChar"/>
    <w:qFormat/>
    <w:rsid w:val="004A3B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4A3BC9"/>
    <w:rPr>
      <w:rFonts w:ascii="Arial" w:eastAsia="MS Mincho" w:hAnsi="Arial"/>
      <w:i/>
      <w:noProof/>
      <w:sz w:val="18"/>
      <w:szCs w:val="24"/>
    </w:rPr>
  </w:style>
  <w:style w:type="character" w:customStyle="1" w:styleId="IvDInstructiontextChar">
    <w:name w:val="IvD Instructiontext Char"/>
    <w:link w:val="IvDInstructiontext"/>
    <w:uiPriority w:val="99"/>
    <w:locked/>
    <w:rsid w:val="00A5768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A5768B"/>
    <w:rPr>
      <w:rFonts w:ascii="Arial" w:hAnsi="Arial" w:cs="Arial"/>
      <w:spacing w:val="2"/>
    </w:rPr>
  </w:style>
  <w:style w:type="paragraph" w:customStyle="1" w:styleId="IvDbodytext">
    <w:name w:val="IvD bodytext"/>
    <w:basedOn w:val="BodyText"/>
    <w:link w:val="IvDbodytextChar"/>
    <w:qFormat/>
    <w:rsid w:val="00A576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Mention">
    <w:name w:val="Mention"/>
    <w:basedOn w:val="DefaultParagraphFont"/>
    <w:uiPriority w:val="99"/>
    <w:unhideWhenUsed/>
    <w:rsid w:val="007F3814"/>
    <w:rPr>
      <w:color w:val="2B579A"/>
      <w:shd w:val="clear" w:color="auto" w:fill="E1DFDD"/>
    </w:rPr>
  </w:style>
  <w:style w:type="paragraph" w:styleId="Revision">
    <w:name w:val="Revision"/>
    <w:hidden/>
    <w:uiPriority w:val="99"/>
    <w:semiHidden/>
    <w:rsid w:val="009E77C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626283">
      <w:bodyDiv w:val="1"/>
      <w:marLeft w:val="0"/>
      <w:marRight w:val="0"/>
      <w:marTop w:val="0"/>
      <w:marBottom w:val="0"/>
      <w:divBdr>
        <w:top w:val="none" w:sz="0" w:space="0" w:color="auto"/>
        <w:left w:val="none" w:sz="0" w:space="0" w:color="auto"/>
        <w:bottom w:val="none" w:sz="0" w:space="0" w:color="auto"/>
        <w:right w:val="none" w:sz="0" w:space="0" w:color="auto"/>
      </w:divBdr>
    </w:div>
    <w:div w:id="101446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6/Docs/%0dRP-22181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documenttasks/documenttasks1.xml><?xml version="1.0" encoding="utf-8"?>
<t:Tasks xmlns:t="http://schemas.microsoft.com/office/tasks/2019/documenttasks" xmlns:oel="http://schemas.microsoft.com/office/2019/extlst">
  <t:Task id="{4E3065A7-78C5-440C-B794-9430EA00A75C}">
    <t:Anchor>
      <t:Comment id="647586726"/>
    </t:Anchor>
    <t:History>
      <t:Event id="{412D9E4F-4A74-4D76-8B4B-8941B60AE3A0}" time="2022-08-07T13:27:13.941Z">
        <t:Attribution userId="S::filip.barac@ericsson.com::d01b6925-bf8b-447c-8a69-6fea306b4349" userProvider="AD" userName="Filip Barac"/>
        <t:Anchor>
          <t:Comment id="1342754282"/>
        </t:Anchor>
        <t:Create/>
      </t:Event>
      <t:Event id="{8A3C2F29-D7A9-4EF0-9E0A-29F3A518301D}" time="2022-08-07T13:27:13.941Z">
        <t:Attribution userId="S::filip.barac@ericsson.com::d01b6925-bf8b-447c-8a69-6fea306b4349" userProvider="AD" userName="Filip Barac"/>
        <t:Anchor>
          <t:Comment id="1342754282"/>
        </t:Anchor>
        <t:Assign userId="S::ritesh.shreevastav@ericsson.com::f93dee3d-be4f-412a-8c5f-30ec04b37dfb" userProvider="AD" userName="Ritesh Shreevastav"/>
      </t:Event>
      <t:Event id="{89EC20E2-565C-4648-9528-6901B66E0523}" time="2022-08-07T13:27:13.941Z">
        <t:Attribution userId="S::filip.barac@ericsson.com::d01b6925-bf8b-447c-8a69-6fea306b4349" userProvider="AD" userName="Filip Barac"/>
        <t:Anchor>
          <t:Comment id="1342754282"/>
        </t:Anchor>
        <t:SetTitle title="@Ritesh Shreevastav could youy please describe our solution? I had that family emergency in June so I did not have the chance to review and contribute to that ivd"/>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elements/1.1/"/>
    <ds:schemaRef ds:uri="http://schemas.microsoft.com/office/2006/metadata/properties"/>
    <ds:schemaRef ds:uri="2f282d3b-eb4a-4b09-b61f-b9593442e286"/>
    <ds:schemaRef ds:uri="http://www.w3.org/XML/1998/namespac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9b239327-9e80-40e4-b1b7-4394fed77a33"/>
    <ds:schemaRef ds:uri="http://purl.org/dc/dcmitype/"/>
  </ds:schemaRefs>
</ds:datastoreItem>
</file>

<file path=customXml/itemProps2.xml><?xml version="1.0" encoding="utf-8"?>
<ds:datastoreItem xmlns:ds="http://schemas.openxmlformats.org/officeDocument/2006/customXml" ds:itemID="{33727F93-7C5F-4D2C-B82F-05AB3E2C1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TotalTime>
  <Pages>4</Pages>
  <Words>1718</Words>
  <Characters>9797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11493</CharactersWithSpaces>
  <SharedDoc>false</SharedDoc>
  <HLinks>
    <vt:vector size="54" baseType="variant">
      <vt:variant>
        <vt:i4>1703990</vt:i4>
      </vt:variant>
      <vt:variant>
        <vt:i4>29</vt:i4>
      </vt:variant>
      <vt:variant>
        <vt:i4>0</vt:i4>
      </vt:variant>
      <vt:variant>
        <vt:i4>5</vt:i4>
      </vt:variant>
      <vt:variant>
        <vt:lpwstr/>
      </vt:variant>
      <vt:variant>
        <vt:lpwstr>_Toc110974015</vt:lpwstr>
      </vt:variant>
      <vt:variant>
        <vt:i4>1703990</vt:i4>
      </vt:variant>
      <vt:variant>
        <vt:i4>26</vt:i4>
      </vt:variant>
      <vt:variant>
        <vt:i4>0</vt:i4>
      </vt:variant>
      <vt:variant>
        <vt:i4>5</vt:i4>
      </vt:variant>
      <vt:variant>
        <vt:lpwstr/>
      </vt:variant>
      <vt:variant>
        <vt:lpwstr>_Toc110974014</vt:lpwstr>
      </vt:variant>
      <vt:variant>
        <vt:i4>1703990</vt:i4>
      </vt:variant>
      <vt:variant>
        <vt:i4>23</vt:i4>
      </vt:variant>
      <vt:variant>
        <vt:i4>0</vt:i4>
      </vt:variant>
      <vt:variant>
        <vt:i4>5</vt:i4>
      </vt:variant>
      <vt:variant>
        <vt:lpwstr/>
      </vt:variant>
      <vt:variant>
        <vt:lpwstr>_Toc110974013</vt:lpwstr>
      </vt:variant>
      <vt:variant>
        <vt:i4>1703990</vt:i4>
      </vt:variant>
      <vt:variant>
        <vt:i4>20</vt:i4>
      </vt:variant>
      <vt:variant>
        <vt:i4>0</vt:i4>
      </vt:variant>
      <vt:variant>
        <vt:i4>5</vt:i4>
      </vt:variant>
      <vt:variant>
        <vt:lpwstr/>
      </vt:variant>
      <vt:variant>
        <vt:lpwstr>_Toc110974012</vt:lpwstr>
      </vt:variant>
      <vt:variant>
        <vt:i4>1179709</vt:i4>
      </vt:variant>
      <vt:variant>
        <vt:i4>14</vt:i4>
      </vt:variant>
      <vt:variant>
        <vt:i4>0</vt:i4>
      </vt:variant>
      <vt:variant>
        <vt:i4>5</vt:i4>
      </vt:variant>
      <vt:variant>
        <vt:lpwstr/>
      </vt:variant>
      <vt:variant>
        <vt:lpwstr>_Toc110959944</vt:lpwstr>
      </vt:variant>
      <vt:variant>
        <vt:i4>1179709</vt:i4>
      </vt:variant>
      <vt:variant>
        <vt:i4>11</vt:i4>
      </vt:variant>
      <vt:variant>
        <vt:i4>0</vt:i4>
      </vt:variant>
      <vt:variant>
        <vt:i4>5</vt:i4>
      </vt:variant>
      <vt:variant>
        <vt:lpwstr/>
      </vt:variant>
      <vt:variant>
        <vt:lpwstr>_Toc110959943</vt:lpwstr>
      </vt:variant>
      <vt:variant>
        <vt:i4>1179709</vt:i4>
      </vt:variant>
      <vt:variant>
        <vt:i4>8</vt:i4>
      </vt:variant>
      <vt:variant>
        <vt:i4>0</vt:i4>
      </vt:variant>
      <vt:variant>
        <vt:i4>5</vt:i4>
      </vt:variant>
      <vt:variant>
        <vt:lpwstr/>
      </vt:variant>
      <vt:variant>
        <vt:lpwstr>_Toc110959942</vt:lpwstr>
      </vt:variant>
      <vt:variant>
        <vt:i4>1179709</vt:i4>
      </vt:variant>
      <vt:variant>
        <vt:i4>5</vt:i4>
      </vt:variant>
      <vt:variant>
        <vt:i4>0</vt:i4>
      </vt:variant>
      <vt:variant>
        <vt:i4>5</vt:i4>
      </vt:variant>
      <vt:variant>
        <vt:lpwstr/>
      </vt:variant>
      <vt:variant>
        <vt:lpwstr>_Toc110959941</vt:lpwstr>
      </vt:variant>
      <vt:variant>
        <vt:i4>1179709</vt:i4>
      </vt:variant>
      <vt:variant>
        <vt:i4>2</vt:i4>
      </vt:variant>
      <vt:variant>
        <vt:i4>0</vt:i4>
      </vt:variant>
      <vt:variant>
        <vt:i4>5</vt:i4>
      </vt:variant>
      <vt:variant>
        <vt:lpwstr/>
      </vt:variant>
      <vt:variant>
        <vt:lpwstr>_Toc110959940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cp:revision>
  <cp:lastPrinted>2008-02-01T01:09:00Z</cp:lastPrinted>
  <dcterms:created xsi:type="dcterms:W3CDTF">2022-08-10T08:25:00Z</dcterms:created>
  <dcterms:modified xsi:type="dcterms:W3CDTF">2022-08-10T08:25:00Z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